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59D08" w14:textId="77777777" w:rsidR="007D3594" w:rsidRDefault="002A263D" w:rsidP="007D3594">
      <w:pPr>
        <w:shd w:val="clear" w:color="auto" w:fill="FFFFFF" w:themeFill="background1"/>
        <w:spacing w:after="0"/>
        <w:jc w:val="center"/>
        <w:rPr>
          <w:rFonts w:ascii="Verdana" w:hAnsi="Verdana"/>
          <w:b/>
          <w:sz w:val="40"/>
          <w:szCs w:val="36"/>
          <w:lang w:val="fr-FR"/>
        </w:rPr>
      </w:pPr>
      <w:r w:rsidRPr="00B7395D">
        <w:rPr>
          <w:rFonts w:ascii="Verdana" w:hAnsi="Verdana"/>
          <w:b/>
          <w:sz w:val="40"/>
          <w:szCs w:val="36"/>
          <w:lang w:val="fr-FR"/>
        </w:rPr>
        <w:t>Fracture Liaison Service</w:t>
      </w:r>
      <w:r w:rsidR="007D3594">
        <w:rPr>
          <w:rFonts w:ascii="Verdana" w:hAnsi="Verdana"/>
          <w:b/>
          <w:sz w:val="40"/>
          <w:szCs w:val="36"/>
          <w:lang w:val="fr-FR"/>
        </w:rPr>
        <w:t xml:space="preserve"> </w:t>
      </w:r>
      <w:r w:rsidRPr="00BE1212">
        <w:rPr>
          <w:rFonts w:ascii="Verdana" w:hAnsi="Verdana"/>
          <w:b/>
          <w:sz w:val="40"/>
          <w:szCs w:val="36"/>
          <w:lang w:val="en-GB"/>
        </w:rPr>
        <w:t>Implementation</w:t>
      </w:r>
      <w:r w:rsidRPr="00B7395D">
        <w:rPr>
          <w:rFonts w:ascii="Verdana" w:hAnsi="Verdana"/>
          <w:b/>
          <w:sz w:val="40"/>
          <w:szCs w:val="36"/>
          <w:lang w:val="fr-FR"/>
        </w:rPr>
        <w:t xml:space="preserve"> </w:t>
      </w:r>
      <w:r w:rsidRPr="00BE1212">
        <w:rPr>
          <w:rFonts w:ascii="Verdana" w:hAnsi="Verdana"/>
          <w:b/>
          <w:sz w:val="40"/>
          <w:szCs w:val="36"/>
          <w:lang w:val="en-GB"/>
        </w:rPr>
        <w:t>Toolkit</w:t>
      </w:r>
    </w:p>
    <w:p w14:paraId="55A62242" w14:textId="77777777" w:rsidR="00075A83" w:rsidRDefault="002A263D" w:rsidP="007D3594">
      <w:pPr>
        <w:shd w:val="clear" w:color="auto" w:fill="FFFFFF" w:themeFill="background1"/>
        <w:spacing w:after="0"/>
        <w:jc w:val="center"/>
        <w:rPr>
          <w:rFonts w:ascii="Verdana" w:hAnsi="Verdana"/>
          <w:b/>
          <w:sz w:val="40"/>
          <w:szCs w:val="36"/>
          <w:lang w:val="fr-FR"/>
        </w:rPr>
      </w:pPr>
      <w:r w:rsidRPr="00B7395D">
        <w:rPr>
          <w:rFonts w:ascii="Verdana" w:hAnsi="Verdana"/>
          <w:b/>
          <w:sz w:val="40"/>
          <w:szCs w:val="36"/>
          <w:lang w:val="fr-FR"/>
        </w:rPr>
        <w:t>Service</w:t>
      </w:r>
      <w:r w:rsidRPr="00BE1212">
        <w:rPr>
          <w:rFonts w:ascii="Verdana" w:hAnsi="Verdana"/>
          <w:b/>
          <w:sz w:val="40"/>
          <w:szCs w:val="36"/>
          <w:lang w:val="en-GB"/>
        </w:rPr>
        <w:t xml:space="preserve"> Specification</w:t>
      </w:r>
    </w:p>
    <w:p w14:paraId="617D1C76" w14:textId="77777777" w:rsidR="00A60BD3" w:rsidRDefault="00A60BD3" w:rsidP="00A438B1">
      <w:pPr>
        <w:shd w:val="clear" w:color="auto" w:fill="FFFFFF" w:themeFill="background1"/>
        <w:spacing w:after="0"/>
        <w:jc w:val="center"/>
        <w:rPr>
          <w:rFonts w:ascii="Verdana" w:hAnsi="Verdana"/>
          <w:b/>
          <w:sz w:val="40"/>
          <w:szCs w:val="36"/>
          <w:lang w:val="fr-FR"/>
        </w:rPr>
      </w:pPr>
    </w:p>
    <w:p w14:paraId="17B9B695" w14:textId="77777777" w:rsidR="002A263D" w:rsidRPr="00B7395D" w:rsidRDefault="002A263D" w:rsidP="002A263D">
      <w:pPr>
        <w:pStyle w:val="ListParagraph"/>
        <w:numPr>
          <w:ilvl w:val="0"/>
          <w:numId w:val="15"/>
        </w:numPr>
        <w:shd w:val="clear" w:color="auto" w:fill="FFFFFF" w:themeFill="background1"/>
        <w:jc w:val="both"/>
        <w:rPr>
          <w:rFonts w:ascii="Verdana" w:hAnsi="Verdana" w:cs="Arial"/>
          <w:i/>
          <w:sz w:val="20"/>
          <w:szCs w:val="22"/>
        </w:rPr>
      </w:pPr>
      <w:r w:rsidRPr="00B7395D">
        <w:rPr>
          <w:rFonts w:ascii="Verdana" w:hAnsi="Verdana" w:cs="Arial"/>
          <w:i/>
          <w:sz w:val="20"/>
          <w:szCs w:val="22"/>
        </w:rPr>
        <w:t>Mandatory headings 1-</w:t>
      </w:r>
      <w:r w:rsidR="00075A83" w:rsidRPr="00B7395D">
        <w:rPr>
          <w:rFonts w:ascii="Verdana" w:hAnsi="Verdana" w:cs="Arial"/>
          <w:i/>
          <w:sz w:val="20"/>
          <w:szCs w:val="22"/>
        </w:rPr>
        <w:t>4: mandatory but detail for local determination and agreement</w:t>
      </w:r>
      <w:r w:rsidRPr="00B7395D">
        <w:rPr>
          <w:rFonts w:ascii="Verdana" w:hAnsi="Verdana" w:cs="Arial"/>
          <w:i/>
          <w:sz w:val="20"/>
          <w:szCs w:val="22"/>
        </w:rPr>
        <w:t>.</w:t>
      </w:r>
    </w:p>
    <w:p w14:paraId="4A9E3231" w14:textId="77777777" w:rsidR="002A263D" w:rsidRPr="00B7395D" w:rsidRDefault="00075A83" w:rsidP="00075A83">
      <w:pPr>
        <w:pStyle w:val="ListParagraph"/>
        <w:numPr>
          <w:ilvl w:val="0"/>
          <w:numId w:val="15"/>
        </w:numPr>
        <w:shd w:val="clear" w:color="auto" w:fill="FFFFFF" w:themeFill="background1"/>
        <w:jc w:val="both"/>
        <w:rPr>
          <w:rFonts w:ascii="Verdana" w:hAnsi="Verdana" w:cs="Arial"/>
          <w:i/>
          <w:sz w:val="20"/>
          <w:szCs w:val="22"/>
        </w:rPr>
      </w:pPr>
      <w:r w:rsidRPr="00B7395D">
        <w:rPr>
          <w:rFonts w:ascii="Verdana" w:hAnsi="Verdana" w:cs="Arial"/>
          <w:i/>
          <w:sz w:val="20"/>
          <w:szCs w:val="22"/>
        </w:rPr>
        <w:t>Optional headings 5-7: optional to use, detail for local determination and agreement.</w:t>
      </w:r>
    </w:p>
    <w:p w14:paraId="31F86741" w14:textId="77777777" w:rsidR="00075A83" w:rsidRPr="00B7395D" w:rsidRDefault="00075A83" w:rsidP="00075A83">
      <w:pPr>
        <w:pStyle w:val="ListParagraph"/>
        <w:numPr>
          <w:ilvl w:val="0"/>
          <w:numId w:val="15"/>
        </w:numPr>
        <w:shd w:val="clear" w:color="auto" w:fill="FFFFFF" w:themeFill="background1"/>
        <w:jc w:val="both"/>
        <w:rPr>
          <w:rFonts w:ascii="Verdana" w:hAnsi="Verdana" w:cs="Arial"/>
          <w:i/>
          <w:sz w:val="20"/>
          <w:szCs w:val="22"/>
        </w:rPr>
      </w:pPr>
      <w:r w:rsidRPr="00B7395D">
        <w:rPr>
          <w:rFonts w:ascii="Verdana" w:hAnsi="Verdana" w:cs="Arial"/>
          <w:i/>
          <w:sz w:val="20"/>
          <w:szCs w:val="22"/>
        </w:rPr>
        <w:t>All subheadings for local determination and agreement</w:t>
      </w:r>
      <w:r w:rsidR="002A263D" w:rsidRPr="00B7395D">
        <w:rPr>
          <w:rFonts w:ascii="Verdana" w:hAnsi="Verdana" w:cs="Arial"/>
          <w:i/>
          <w:sz w:val="20"/>
          <w:szCs w:val="22"/>
        </w:rPr>
        <w:t>.</w:t>
      </w:r>
    </w:p>
    <w:p w14:paraId="219E0035" w14:textId="77777777" w:rsidR="00075A83" w:rsidRPr="00B7395D" w:rsidRDefault="00075A83" w:rsidP="00075A83">
      <w:pPr>
        <w:spacing w:after="0"/>
        <w:jc w:val="both"/>
        <w:rPr>
          <w:rFonts w:ascii="Verdana" w:hAnsi="Verdana" w:cs="Arial"/>
          <w:sz w:val="20"/>
          <w:lang w:val="en-GB"/>
        </w:rPr>
      </w:pPr>
    </w:p>
    <w:p w14:paraId="457AB1B1" w14:textId="5A51455E" w:rsidR="00E428DE" w:rsidRPr="00B7395D" w:rsidRDefault="0065043F" w:rsidP="00075A83">
      <w:pPr>
        <w:spacing w:after="0"/>
        <w:jc w:val="both"/>
        <w:rPr>
          <w:rFonts w:ascii="Verdana" w:hAnsi="Verdana" w:cs="Arial"/>
          <w:sz w:val="20"/>
          <w:lang w:val="en-GB"/>
        </w:rPr>
      </w:pPr>
      <w:r>
        <w:rPr>
          <w:rFonts w:ascii="Verdana" w:hAnsi="Verdana" w:cs="Calibri"/>
          <w:b/>
          <w:bCs/>
          <w:noProof/>
          <w:sz w:val="36"/>
          <w:szCs w:val="36"/>
          <w:lang w:val="en-GB" w:eastAsia="en-GB"/>
        </w:rPr>
        <mc:AlternateContent>
          <mc:Choice Requires="wps">
            <w:drawing>
              <wp:inline distT="0" distB="0" distL="0" distR="0" wp14:anchorId="09F2FE5C" wp14:editId="0C8B6292">
                <wp:extent cx="5709920" cy="6232525"/>
                <wp:effectExtent l="9525" t="6350" r="508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232525"/>
                        </a:xfrm>
                        <a:prstGeom prst="rect">
                          <a:avLst/>
                        </a:prstGeom>
                        <a:solidFill>
                          <a:srgbClr val="0D73A5"/>
                        </a:solidFill>
                        <a:ln w="9525">
                          <a:solidFill>
                            <a:srgbClr val="000000"/>
                          </a:solidFill>
                          <a:miter lim="800000"/>
                          <a:headEnd/>
                          <a:tailEnd/>
                        </a:ln>
                      </wps:spPr>
                      <wps:txbx>
                        <w:txbxContent>
                          <w:p w14:paraId="65DF0B57" w14:textId="77777777" w:rsidR="00BE08E1" w:rsidRPr="005223AA" w:rsidRDefault="00BE08E1" w:rsidP="00194D0B">
                            <w:pPr>
                              <w:pStyle w:val="NormalWeb"/>
                              <w:spacing w:before="0" w:beforeAutospacing="0" w:after="120" w:afterAutospacing="0"/>
                              <w:rPr>
                                <w:rFonts w:ascii="Verdana" w:hAnsi="Verdana"/>
                                <w:i/>
                              </w:rPr>
                            </w:pPr>
                            <w:r w:rsidRPr="005223AA">
                              <w:rPr>
                                <w:rFonts w:ascii="Verdana" w:hAnsi="Verdana" w:cs="Calibri"/>
                                <w:b/>
                                <w:bCs/>
                                <w:i/>
                                <w:color w:val="FFFFFF"/>
                                <w:sz w:val="22"/>
                                <w:szCs w:val="22"/>
                                <w:u w:val="single"/>
                              </w:rPr>
                              <w:t>This template</w:t>
                            </w:r>
                          </w:p>
                          <w:p w14:paraId="38C2E884"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This resource has been created by the National Osteoporosis Society as part of the Fracture Liaison Service Implementation Toolkit (FLS-IT). The aim of the toolkit is to take some of the hard work out of establishing a new Fracture Liaison Service (FLS) or improving an existing one.</w:t>
                            </w:r>
                          </w:p>
                          <w:p w14:paraId="285ED69D"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 xml:space="preserve">This template has been created by working professionals in the NHS in each of the four home nations and makes use of current policy and best practice. It has been designed to save the user the time and trouble of researching, drafting and editing a document or workbook from scratch. References have been included where relevant. </w:t>
                            </w:r>
                          </w:p>
                          <w:p w14:paraId="595C0386"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 xml:space="preserve">You are free to use, change, edit or adapt this template as you wish. We trust that you will find this tool useful; if you have any queries or would like to make any suggestions on how to improve it, please contact us at the National Osteoporosis Society. If you would like to see or to download other tools, please go to: </w:t>
                            </w:r>
                            <w:hyperlink r:id="rId8" w:history="1">
                              <w:r>
                                <w:rPr>
                                  <w:rStyle w:val="Hyperlink"/>
                                  <w:rFonts w:asciiTheme="minorHAnsi" w:hAnsiTheme="minorHAnsi" w:cs="Calibri"/>
                                  <w:i/>
                                  <w:sz w:val="22"/>
                                  <w:szCs w:val="22"/>
                                </w:rPr>
                                <w:t>www.nos.org.uk/toolkit</w:t>
                              </w:r>
                            </w:hyperlink>
                            <w:r w:rsidRPr="005223AA">
                              <w:rPr>
                                <w:rFonts w:asciiTheme="minorHAnsi" w:hAnsiTheme="minorHAnsi" w:cs="Calibri"/>
                                <w:i/>
                                <w:sz w:val="22"/>
                                <w:szCs w:val="22"/>
                              </w:rPr>
                              <w:t xml:space="preserve"> </w:t>
                            </w:r>
                          </w:p>
                          <w:p w14:paraId="3A001840"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u w:val="single"/>
                              </w:rPr>
                            </w:pPr>
                          </w:p>
                          <w:p w14:paraId="30AF30A8" w14:textId="77777777" w:rsidR="00BE08E1" w:rsidRPr="005223AA" w:rsidRDefault="00BE08E1" w:rsidP="00194D0B">
                            <w:pPr>
                              <w:pStyle w:val="NormalWeb"/>
                              <w:spacing w:before="0" w:beforeAutospacing="0" w:after="120" w:afterAutospacing="0"/>
                              <w:rPr>
                                <w:rFonts w:asciiTheme="minorHAnsi" w:hAnsiTheme="minorHAnsi"/>
                                <w:b/>
                                <w:i/>
                                <w:u w:val="single"/>
                              </w:rPr>
                            </w:pPr>
                            <w:r w:rsidRPr="005223AA">
                              <w:rPr>
                                <w:rFonts w:asciiTheme="minorHAnsi" w:hAnsiTheme="minorHAnsi" w:cs="Calibri"/>
                                <w:b/>
                                <w:i/>
                                <w:color w:val="FFFFFF"/>
                                <w:sz w:val="22"/>
                                <w:szCs w:val="22"/>
                                <w:u w:val="single"/>
                              </w:rPr>
                              <w:t>Disclaimer</w:t>
                            </w:r>
                          </w:p>
                          <w:p w14:paraId="4BEA7BF7"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This template is provided free as part of the FLS-IT by the National Osteoporosis Society. This template does not represent the views of the National Osteoporosis Society. Every effort has been made to make sure that the information contained within this document is accurate and in full compliance with UK law and with best practice at the time of writing. There is no guarantee as to the accuracy or reliability of any of the information contained in this template and use of this template is entirely at the user’s risk and no liability whatsoever is accepted by the National Osteoporosis Society.</w:t>
                            </w:r>
                          </w:p>
                          <w:p w14:paraId="7DA291E3" w14:textId="77777777" w:rsidR="00BE08E1" w:rsidRPr="005223AA" w:rsidRDefault="00BE08E1" w:rsidP="00194D0B">
                            <w:pPr>
                              <w:pStyle w:val="NormalWeb"/>
                              <w:spacing w:before="0" w:beforeAutospacing="0" w:after="120" w:afterAutospacing="0"/>
                              <w:rPr>
                                <w:rFonts w:asciiTheme="minorHAnsi" w:hAnsiTheme="minorHAnsi"/>
                                <w:i/>
                              </w:rPr>
                            </w:pPr>
                          </w:p>
                          <w:p w14:paraId="60C3A587" w14:textId="77777777" w:rsidR="00BE08E1" w:rsidRPr="005223AA" w:rsidRDefault="00BE08E1" w:rsidP="00194D0B">
                            <w:pPr>
                              <w:pStyle w:val="NormalWeb"/>
                              <w:spacing w:before="0" w:beforeAutospacing="0" w:after="120" w:afterAutospacing="0"/>
                              <w:rPr>
                                <w:rFonts w:asciiTheme="minorHAnsi" w:hAnsiTheme="minorHAnsi"/>
                                <w:i/>
                              </w:rPr>
                            </w:pPr>
                            <w:r w:rsidRPr="005223AA">
                              <w:rPr>
                                <w:rFonts w:asciiTheme="minorHAnsi" w:hAnsiTheme="minorHAnsi" w:cs="Calibri"/>
                                <w:b/>
                                <w:bCs/>
                                <w:i/>
                                <w:color w:val="FFFFFF"/>
                                <w:sz w:val="22"/>
                                <w:szCs w:val="22"/>
                                <w:u w:val="single"/>
                              </w:rPr>
                              <w:t>Instructions for use</w:t>
                            </w:r>
                          </w:p>
                          <w:p w14:paraId="4CB213D1"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The template is fully editable. Formatting has been kept to a minimum to allow flexible use either editing this template or copying material to use in local documents.  The template may include guidance on use and/or sections where local information may need to be entered. These have been highlighted</w:t>
                            </w:r>
                            <w:r w:rsidRPr="005223AA">
                              <w:rPr>
                                <w:rFonts w:ascii="Verdana" w:hAnsi="Verdana" w:cs="Calibri"/>
                                <w:i/>
                                <w:color w:val="FFFFFF"/>
                                <w:sz w:val="22"/>
                                <w:szCs w:val="22"/>
                              </w:rPr>
                              <w:t xml:space="preserve"> </w:t>
                            </w:r>
                            <w:r w:rsidRPr="005223AA">
                              <w:rPr>
                                <w:rFonts w:asciiTheme="minorHAnsi" w:hAnsiTheme="minorHAnsi" w:cs="Calibri"/>
                                <w:b/>
                                <w:i/>
                                <w:color w:val="FFFFFF"/>
                                <w:sz w:val="22"/>
                                <w:szCs w:val="22"/>
                              </w:rPr>
                              <w:t>[using bold text in square brackets]</w:t>
                            </w:r>
                            <w:r w:rsidRPr="005223AA">
                              <w:rPr>
                                <w:rFonts w:asciiTheme="minorHAnsi" w:hAnsiTheme="minorHAnsi" w:cs="Calibri"/>
                                <w:i/>
                                <w:color w:val="FFFFFF"/>
                                <w:sz w:val="22"/>
                                <w:szCs w:val="22"/>
                              </w:rPr>
                              <w:t>. Please delete or overwrite these sections as you go along and make the necessary font or formatting changes.</w:t>
                            </w:r>
                          </w:p>
                          <w:p w14:paraId="66AF28B7" w14:textId="77777777" w:rsidR="00BE08E1" w:rsidRPr="005223AA" w:rsidRDefault="00BE08E1" w:rsidP="00194D0B">
                            <w:pPr>
                              <w:pStyle w:val="NormalWeb"/>
                              <w:spacing w:before="0" w:beforeAutospacing="0" w:after="120" w:afterAutospacing="0"/>
                              <w:rPr>
                                <w:rFonts w:asciiTheme="minorHAnsi" w:hAnsiTheme="minorHAnsi"/>
                                <w:i/>
                              </w:rPr>
                            </w:pPr>
                          </w:p>
                          <w:p w14:paraId="68B9F4FB" w14:textId="77777777" w:rsidR="00BE08E1" w:rsidRPr="005223AA" w:rsidRDefault="00BE08E1" w:rsidP="00194D0B">
                            <w:pPr>
                              <w:pStyle w:val="NormalWeb"/>
                              <w:spacing w:before="0" w:beforeAutospacing="0" w:after="120" w:afterAutospacing="0"/>
                              <w:rPr>
                                <w:rFonts w:asciiTheme="minorHAnsi" w:hAnsiTheme="minorHAnsi"/>
                                <w:b/>
                                <w:i/>
                              </w:rPr>
                            </w:pPr>
                            <w:r w:rsidRPr="005223AA">
                              <w:rPr>
                                <w:rFonts w:asciiTheme="minorHAnsi" w:hAnsiTheme="minorHAnsi" w:cs="Calibri"/>
                                <w:b/>
                                <w:i/>
                                <w:iCs/>
                                <w:color w:val="FFFFFF"/>
                                <w:sz w:val="22"/>
                                <w:szCs w:val="22"/>
                              </w:rPr>
                              <w:t>[Please delete this box when you use the template]</w:t>
                            </w:r>
                          </w:p>
                          <w:p w14:paraId="40F82EBB" w14:textId="77777777" w:rsidR="00BE08E1" w:rsidRPr="00194D0B" w:rsidRDefault="00BE08E1" w:rsidP="00A273BC">
                            <w:pPr>
                              <w:autoSpaceDE w:val="0"/>
                              <w:autoSpaceDN w:val="0"/>
                              <w:adjustRightInd w:val="0"/>
                              <w:spacing w:after="120"/>
                              <w:rPr>
                                <w:b/>
                                <w:i/>
                                <w:color w:val="FFFFFF"/>
                                <w:lang w:val="en-GB"/>
                              </w:rPr>
                            </w:pPr>
                          </w:p>
                        </w:txbxContent>
                      </wps:txbx>
                      <wps:bodyPr rot="0" vert="horz" wrap="square" lIns="91440" tIns="45720" rIns="91440" bIns="45720" anchor="t" anchorCtr="0" upright="1">
                        <a:noAutofit/>
                      </wps:bodyPr>
                    </wps:wsp>
                  </a:graphicData>
                </a:graphic>
              </wp:inline>
            </w:drawing>
          </mc:Choice>
          <mc:Fallback>
            <w:pict>
              <v:shapetype w14:anchorId="09F2FE5C" id="_x0000_t202" coordsize="21600,21600" o:spt="202" path="m,l,21600r21600,l21600,xe">
                <v:stroke joinstyle="miter"/>
                <v:path gradientshapeok="t" o:connecttype="rect"/>
              </v:shapetype>
              <v:shape id="Text Box 2" o:spid="_x0000_s1026" type="#_x0000_t202" style="width:449.6pt;height:4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12KwIAAFEEAAAOAAAAZHJzL2Uyb0RvYy54bWysVNuO0zAQfUfiHyy/06TZdruNmq5KyyKk&#10;5SLt8gGO4zQWjsfYbpPy9Tt20lLgAQmRB8v2jM+cOTOT1X3fKnIU1knQBZ1OUkqE5lBJvS/o1+eH&#10;N3eUOM90xRRoUdCTcPR+/frVqjO5yKABVQlLEES7vDMFbbw3eZI43oiWuQkYodFYg22Zx6PdJ5Vl&#10;HaK3KsnS9DbpwFbGAhfO4e1uMNJ1xK9rwf3nunbCE1VQ5ObjauNahjVZr1i+t8w0ko802D+waJnU&#10;GPQCtWOekYOVf0C1kltwUPsJhzaBupZcxBwwm2n6WzZPDTMi5oLiOHORyf0/WP7p+MUSWWHtKNGs&#10;xRI9i96Tt9CTLKjTGZej05NBN9/jdfAMmTrzCPybIxq2DdN7sbEWukawCtlNw8vk6umA4wJI2X2E&#10;CsOwg4cI1Ne2DYAoBkF0rNLpUplAhePlfJEulxmaONpus5tsns1jDJafnxvr/HsBLQmbglosfYRn&#10;x0fnAx2Wn10ifVCyepBKxYPdl1tlyZGFNtktbjZndHftpjTpCroMsf8CkYZvJPgLRCs99ruSbUHv&#10;Lk4sD7q901XsRs+kGvZIWelRyKDdoKLvy34sTAnVCSW1MPQ1ziFuGrA/KOmwpwvqvh+YFZSoDxrL&#10;spzOZmEI4mE2XwRB7bWlvLYwzRGqoJ6SYbv1w+AcjJX7BiMNjaBhg6WsZRQ51HxgNfLGvo3ajzMW&#10;BuP6HL1+/gnWLwAAAP//AwBQSwMEFAAGAAgAAAAhACKeQLPdAAAABQEAAA8AAABkcnMvZG93bnJl&#10;di54bWxMj0FLw0AQhe+C/2EZwZvdtFBJYjalCD004MFEPE+yY5I2O5tmt238965e7GXg8R7vfZNt&#10;ZjOIC02ut6xguYhAEDdW99wq+Kh2TzEI55E1DpZJwTc52OT3dxmm2l75nS6lb0UoYZeigs77MZXS&#10;NR0ZdAs7Egfvy04GfZBTK/WE11BuBrmKomdpsOew0OFIrx01x/JsFByK9e6tOuxPVX2qPuO6LPY4&#10;Fko9PszbFxCeZv8fhl/8gA55YKrtmbUTg4LwiP+7wYuTZAWiVpDEyzXIPJO39PkPAAAA//8DAFBL&#10;AQItABQABgAIAAAAIQC2gziS/gAAAOEBAAATAAAAAAAAAAAAAAAAAAAAAABbQ29udGVudF9UeXBl&#10;c10ueG1sUEsBAi0AFAAGAAgAAAAhADj9If/WAAAAlAEAAAsAAAAAAAAAAAAAAAAALwEAAF9yZWxz&#10;Ly5yZWxzUEsBAi0AFAAGAAgAAAAhADCNTXYrAgAAUQQAAA4AAAAAAAAAAAAAAAAALgIAAGRycy9l&#10;Mm9Eb2MueG1sUEsBAi0AFAAGAAgAAAAhACKeQLPdAAAABQEAAA8AAAAAAAAAAAAAAAAAhQQAAGRy&#10;cy9kb3ducmV2LnhtbFBLBQYAAAAABAAEAPMAAACPBQAAAAA=&#10;" fillcolor="#0d73a5">
                <v:textbox>
                  <w:txbxContent>
                    <w:p w14:paraId="65DF0B57" w14:textId="77777777" w:rsidR="00BE08E1" w:rsidRPr="005223AA" w:rsidRDefault="00BE08E1" w:rsidP="00194D0B">
                      <w:pPr>
                        <w:pStyle w:val="NormalWeb"/>
                        <w:spacing w:before="0" w:beforeAutospacing="0" w:after="120" w:afterAutospacing="0"/>
                        <w:rPr>
                          <w:rFonts w:ascii="Verdana" w:hAnsi="Verdana"/>
                          <w:i/>
                        </w:rPr>
                      </w:pPr>
                      <w:r w:rsidRPr="005223AA">
                        <w:rPr>
                          <w:rFonts w:ascii="Verdana" w:hAnsi="Verdana" w:cs="Calibri"/>
                          <w:b/>
                          <w:bCs/>
                          <w:i/>
                          <w:color w:val="FFFFFF"/>
                          <w:sz w:val="22"/>
                          <w:szCs w:val="22"/>
                          <w:u w:val="single"/>
                        </w:rPr>
                        <w:t>This template</w:t>
                      </w:r>
                    </w:p>
                    <w:p w14:paraId="38C2E884"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This resource has been created by the National Osteoporosis Society as part of the Fracture Liaison Service Implementation Toolkit (FLS-IT). The aim of the toolkit is to take some of the hard work out of establishing a new Fracture Liaison Service (FLS) or improving an existing one.</w:t>
                      </w:r>
                    </w:p>
                    <w:p w14:paraId="285ED69D"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 xml:space="preserve">This template has been created by working professionals in the NHS in each of the four home nations and makes use of current policy and best practice. It has been designed to save the user the time and trouble of researching, drafting and editing a document or workbook from scratch. References have been included where relevant. </w:t>
                      </w:r>
                    </w:p>
                    <w:p w14:paraId="595C0386"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 xml:space="preserve">You are free to use, change, edit or adapt this template as you wish. We trust that you will find this tool useful; if you have any queries or would like to make any suggestions on how to improve it, please contact us at the National Osteoporosis Society. If you would like to see or to download other tools, please go to: </w:t>
                      </w:r>
                      <w:hyperlink r:id="rId9" w:history="1">
                        <w:r>
                          <w:rPr>
                            <w:rStyle w:val="Hyperlink"/>
                            <w:rFonts w:asciiTheme="minorHAnsi" w:hAnsiTheme="minorHAnsi" w:cs="Calibri"/>
                            <w:i/>
                            <w:sz w:val="22"/>
                            <w:szCs w:val="22"/>
                          </w:rPr>
                          <w:t>www.nos.org.uk/toolkit</w:t>
                        </w:r>
                      </w:hyperlink>
                      <w:r w:rsidRPr="005223AA">
                        <w:rPr>
                          <w:rFonts w:asciiTheme="minorHAnsi" w:hAnsiTheme="minorHAnsi" w:cs="Calibri"/>
                          <w:i/>
                          <w:sz w:val="22"/>
                          <w:szCs w:val="22"/>
                        </w:rPr>
                        <w:t xml:space="preserve"> </w:t>
                      </w:r>
                    </w:p>
                    <w:p w14:paraId="3A001840"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u w:val="single"/>
                        </w:rPr>
                      </w:pPr>
                    </w:p>
                    <w:p w14:paraId="30AF30A8" w14:textId="77777777" w:rsidR="00BE08E1" w:rsidRPr="005223AA" w:rsidRDefault="00BE08E1" w:rsidP="00194D0B">
                      <w:pPr>
                        <w:pStyle w:val="NormalWeb"/>
                        <w:spacing w:before="0" w:beforeAutospacing="0" w:after="120" w:afterAutospacing="0"/>
                        <w:rPr>
                          <w:rFonts w:asciiTheme="minorHAnsi" w:hAnsiTheme="minorHAnsi"/>
                          <w:b/>
                          <w:i/>
                          <w:u w:val="single"/>
                        </w:rPr>
                      </w:pPr>
                      <w:r w:rsidRPr="005223AA">
                        <w:rPr>
                          <w:rFonts w:asciiTheme="minorHAnsi" w:hAnsiTheme="minorHAnsi" w:cs="Calibri"/>
                          <w:b/>
                          <w:i/>
                          <w:color w:val="FFFFFF"/>
                          <w:sz w:val="22"/>
                          <w:szCs w:val="22"/>
                          <w:u w:val="single"/>
                        </w:rPr>
                        <w:t>Disclaimer</w:t>
                      </w:r>
                    </w:p>
                    <w:p w14:paraId="4BEA7BF7"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This template is provided free as part of the FLS-IT by the National Osteoporosis Society. This template does not represent the views of the National Osteoporosis Society. Every effort has been made to make sure that the information contained within this document is accurate and in full compliance with UK law and with best practice at the time of writing. There is no guarantee as to the accuracy or reliability of any of the information contained in this template and use of this template is entirely at the user’s risk and no liability whatsoever is accepted by the National Osteoporosis Society.</w:t>
                      </w:r>
                    </w:p>
                    <w:p w14:paraId="7DA291E3" w14:textId="77777777" w:rsidR="00BE08E1" w:rsidRPr="005223AA" w:rsidRDefault="00BE08E1" w:rsidP="00194D0B">
                      <w:pPr>
                        <w:pStyle w:val="NormalWeb"/>
                        <w:spacing w:before="0" w:beforeAutospacing="0" w:after="120" w:afterAutospacing="0"/>
                        <w:rPr>
                          <w:rFonts w:asciiTheme="minorHAnsi" w:hAnsiTheme="minorHAnsi"/>
                          <w:i/>
                        </w:rPr>
                      </w:pPr>
                    </w:p>
                    <w:p w14:paraId="60C3A587" w14:textId="77777777" w:rsidR="00BE08E1" w:rsidRPr="005223AA" w:rsidRDefault="00BE08E1" w:rsidP="00194D0B">
                      <w:pPr>
                        <w:pStyle w:val="NormalWeb"/>
                        <w:spacing w:before="0" w:beforeAutospacing="0" w:after="120" w:afterAutospacing="0"/>
                        <w:rPr>
                          <w:rFonts w:asciiTheme="minorHAnsi" w:hAnsiTheme="minorHAnsi"/>
                          <w:i/>
                        </w:rPr>
                      </w:pPr>
                      <w:r w:rsidRPr="005223AA">
                        <w:rPr>
                          <w:rFonts w:asciiTheme="minorHAnsi" w:hAnsiTheme="minorHAnsi" w:cs="Calibri"/>
                          <w:b/>
                          <w:bCs/>
                          <w:i/>
                          <w:color w:val="FFFFFF"/>
                          <w:sz w:val="22"/>
                          <w:szCs w:val="22"/>
                          <w:u w:val="single"/>
                        </w:rPr>
                        <w:t>Instructions for use</w:t>
                      </w:r>
                    </w:p>
                    <w:p w14:paraId="4CB213D1" w14:textId="77777777" w:rsidR="00BE08E1" w:rsidRPr="005223AA" w:rsidRDefault="00BE08E1" w:rsidP="00194D0B">
                      <w:pPr>
                        <w:pStyle w:val="NormalWeb"/>
                        <w:spacing w:before="0" w:beforeAutospacing="0" w:after="120" w:afterAutospacing="0"/>
                        <w:rPr>
                          <w:rFonts w:asciiTheme="minorHAnsi" w:hAnsiTheme="minorHAnsi" w:cs="Calibri"/>
                          <w:i/>
                          <w:color w:val="FFFFFF"/>
                          <w:sz w:val="22"/>
                          <w:szCs w:val="22"/>
                        </w:rPr>
                      </w:pPr>
                      <w:r w:rsidRPr="005223AA">
                        <w:rPr>
                          <w:rFonts w:asciiTheme="minorHAnsi" w:hAnsiTheme="minorHAnsi" w:cs="Calibri"/>
                          <w:i/>
                          <w:color w:val="FFFFFF"/>
                          <w:sz w:val="22"/>
                          <w:szCs w:val="22"/>
                        </w:rPr>
                        <w:t>The template is fully editable. Formatting has been kept to a minimum to allow flexible use either editing this template or copying material to use in local documents.  The template may include guidance on use and/or sections where local information may need to be entered. These have been highlighted</w:t>
                      </w:r>
                      <w:r w:rsidRPr="005223AA">
                        <w:rPr>
                          <w:rFonts w:ascii="Verdana" w:hAnsi="Verdana" w:cs="Calibri"/>
                          <w:i/>
                          <w:color w:val="FFFFFF"/>
                          <w:sz w:val="22"/>
                          <w:szCs w:val="22"/>
                        </w:rPr>
                        <w:t xml:space="preserve"> </w:t>
                      </w:r>
                      <w:r w:rsidRPr="005223AA">
                        <w:rPr>
                          <w:rFonts w:asciiTheme="minorHAnsi" w:hAnsiTheme="minorHAnsi" w:cs="Calibri"/>
                          <w:b/>
                          <w:i/>
                          <w:color w:val="FFFFFF"/>
                          <w:sz w:val="22"/>
                          <w:szCs w:val="22"/>
                        </w:rPr>
                        <w:t>[using bold text in square brackets]</w:t>
                      </w:r>
                      <w:r w:rsidRPr="005223AA">
                        <w:rPr>
                          <w:rFonts w:asciiTheme="minorHAnsi" w:hAnsiTheme="minorHAnsi" w:cs="Calibri"/>
                          <w:i/>
                          <w:color w:val="FFFFFF"/>
                          <w:sz w:val="22"/>
                          <w:szCs w:val="22"/>
                        </w:rPr>
                        <w:t>. Please delete or overwrite these sections as you go along and make the necessary font or formatting changes.</w:t>
                      </w:r>
                    </w:p>
                    <w:p w14:paraId="66AF28B7" w14:textId="77777777" w:rsidR="00BE08E1" w:rsidRPr="005223AA" w:rsidRDefault="00BE08E1" w:rsidP="00194D0B">
                      <w:pPr>
                        <w:pStyle w:val="NormalWeb"/>
                        <w:spacing w:before="0" w:beforeAutospacing="0" w:after="120" w:afterAutospacing="0"/>
                        <w:rPr>
                          <w:rFonts w:asciiTheme="minorHAnsi" w:hAnsiTheme="minorHAnsi"/>
                          <w:i/>
                        </w:rPr>
                      </w:pPr>
                    </w:p>
                    <w:p w14:paraId="68B9F4FB" w14:textId="77777777" w:rsidR="00BE08E1" w:rsidRPr="005223AA" w:rsidRDefault="00BE08E1" w:rsidP="00194D0B">
                      <w:pPr>
                        <w:pStyle w:val="NormalWeb"/>
                        <w:spacing w:before="0" w:beforeAutospacing="0" w:after="120" w:afterAutospacing="0"/>
                        <w:rPr>
                          <w:rFonts w:asciiTheme="minorHAnsi" w:hAnsiTheme="minorHAnsi"/>
                          <w:b/>
                          <w:i/>
                        </w:rPr>
                      </w:pPr>
                      <w:r w:rsidRPr="005223AA">
                        <w:rPr>
                          <w:rFonts w:asciiTheme="minorHAnsi" w:hAnsiTheme="minorHAnsi" w:cs="Calibri"/>
                          <w:b/>
                          <w:i/>
                          <w:iCs/>
                          <w:color w:val="FFFFFF"/>
                          <w:sz w:val="22"/>
                          <w:szCs w:val="22"/>
                        </w:rPr>
                        <w:t>[Please delete this box when you use the template]</w:t>
                      </w:r>
                    </w:p>
                    <w:p w14:paraId="40F82EBB" w14:textId="77777777" w:rsidR="00BE08E1" w:rsidRPr="00194D0B" w:rsidRDefault="00BE08E1" w:rsidP="00A273BC">
                      <w:pPr>
                        <w:autoSpaceDE w:val="0"/>
                        <w:autoSpaceDN w:val="0"/>
                        <w:adjustRightInd w:val="0"/>
                        <w:spacing w:after="120"/>
                        <w:rPr>
                          <w:b/>
                          <w:i/>
                          <w:color w:val="FFFFFF"/>
                          <w:lang w:val="en-GB"/>
                        </w:rPr>
                      </w:pPr>
                    </w:p>
                  </w:txbxContent>
                </v:textbox>
                <w10:anchorlock/>
              </v:shape>
            </w:pict>
          </mc:Fallback>
        </mc:AlternateContent>
      </w:r>
    </w:p>
    <w:p w14:paraId="0EFFB53C" w14:textId="77777777" w:rsidR="00194D0B" w:rsidRPr="00B7395D" w:rsidRDefault="00194D0B" w:rsidP="00075A83">
      <w:pPr>
        <w:spacing w:after="0"/>
        <w:jc w:val="both"/>
        <w:rPr>
          <w:rFonts w:ascii="Verdana" w:hAnsi="Verdana" w:cs="Arial"/>
          <w:sz w:val="20"/>
          <w:lang w:val="en-GB"/>
        </w:rPr>
      </w:pPr>
    </w:p>
    <w:p w14:paraId="02D881C9" w14:textId="77777777" w:rsidR="00194D0B" w:rsidRPr="00B7395D" w:rsidRDefault="00194D0B" w:rsidP="00075A83">
      <w:pPr>
        <w:spacing w:after="0"/>
        <w:jc w:val="both"/>
        <w:rPr>
          <w:rFonts w:ascii="Verdana" w:hAnsi="Verdana" w:cs="Arial"/>
          <w:sz w:val="20"/>
          <w:lang w:val="en-GB"/>
        </w:rPr>
      </w:pPr>
    </w:p>
    <w:p w14:paraId="46F7BE55" w14:textId="77777777" w:rsidR="00A438B1" w:rsidRPr="00B7395D" w:rsidRDefault="00A438B1" w:rsidP="00075A83">
      <w:pPr>
        <w:spacing w:after="0"/>
        <w:jc w:val="both"/>
        <w:rPr>
          <w:rFonts w:ascii="Verdana" w:hAnsi="Verdana" w:cs="Arial"/>
          <w:sz w:val="20"/>
          <w:lang w:val="en-GB"/>
        </w:rPr>
      </w:pPr>
    </w:p>
    <w:p w14:paraId="294D9335" w14:textId="77777777" w:rsidR="00A438B1" w:rsidRPr="00B7395D" w:rsidRDefault="00A438B1" w:rsidP="00075A83">
      <w:pPr>
        <w:spacing w:after="0"/>
        <w:jc w:val="both"/>
        <w:rPr>
          <w:rFonts w:ascii="Verdana" w:hAnsi="Verdana" w:cs="Arial"/>
          <w:sz w:val="20"/>
          <w:lang w:val="en-GB"/>
        </w:rPr>
      </w:pPr>
    </w:p>
    <w:tbl>
      <w:tblPr>
        <w:tblStyle w:val="TableGrid"/>
        <w:tblW w:w="0" w:type="auto"/>
        <w:tblLook w:val="04A0" w:firstRow="1" w:lastRow="0" w:firstColumn="1" w:lastColumn="0" w:noHBand="0" w:noVBand="1"/>
      </w:tblPr>
      <w:tblGrid>
        <w:gridCol w:w="9016"/>
      </w:tblGrid>
      <w:tr w:rsidR="00A273BC" w:rsidRPr="00B7395D" w14:paraId="2E5E3DE1" w14:textId="77777777" w:rsidTr="00A60BD3">
        <w:tc>
          <w:tcPr>
            <w:tcW w:w="9016" w:type="dxa"/>
          </w:tcPr>
          <w:p w14:paraId="201517F2" w14:textId="77777777" w:rsidR="00A273BC" w:rsidRPr="00B7395D" w:rsidRDefault="00A273BC" w:rsidP="007C0783">
            <w:pPr>
              <w:spacing w:before="120" w:after="120"/>
              <w:jc w:val="both"/>
              <w:rPr>
                <w:rFonts w:ascii="Verdana" w:hAnsi="Verdana" w:cs="Arial"/>
                <w:b/>
                <w:sz w:val="22"/>
                <w:szCs w:val="22"/>
                <w:lang w:val="en-GB"/>
              </w:rPr>
            </w:pPr>
            <w:r w:rsidRPr="00B7395D">
              <w:rPr>
                <w:rFonts w:ascii="Verdana" w:hAnsi="Verdana" w:cs="Arial"/>
                <w:b/>
                <w:sz w:val="22"/>
                <w:szCs w:val="22"/>
                <w:lang w:val="en-GB"/>
              </w:rPr>
              <w:t>Using this tool</w:t>
            </w:r>
          </w:p>
          <w:p w14:paraId="64446186" w14:textId="77777777" w:rsidR="00A273BC" w:rsidRPr="00B7395D" w:rsidRDefault="00A273BC" w:rsidP="00504619">
            <w:pPr>
              <w:spacing w:after="120"/>
              <w:jc w:val="both"/>
              <w:rPr>
                <w:rFonts w:ascii="Verdana" w:hAnsi="Verdana" w:cs="Arial"/>
                <w:sz w:val="20"/>
                <w:lang w:val="en-GB"/>
              </w:rPr>
            </w:pPr>
            <w:r w:rsidRPr="00B7395D">
              <w:rPr>
                <w:rFonts w:ascii="Verdana" w:hAnsi="Verdana" w:cs="Arial"/>
                <w:sz w:val="22"/>
                <w:szCs w:val="22"/>
                <w:lang w:val="en-GB"/>
              </w:rPr>
              <w:t>Note that this template is based on the service specification in use in the NHS England as part of the standard NHS contract for acute services.</w:t>
            </w:r>
            <w:r w:rsidR="00A60BD3">
              <w:rPr>
                <w:rFonts w:ascii="Verdana" w:hAnsi="Verdana" w:cs="Arial"/>
                <w:sz w:val="22"/>
                <w:szCs w:val="22"/>
                <w:lang w:val="en-GB"/>
              </w:rPr>
              <w:t xml:space="preserve"> </w:t>
            </w:r>
            <w:r w:rsidRPr="00B7395D">
              <w:rPr>
                <w:rFonts w:ascii="Verdana" w:hAnsi="Verdana" w:cs="Arial"/>
                <w:sz w:val="22"/>
                <w:szCs w:val="22"/>
                <w:lang w:val="en-GB"/>
              </w:rPr>
              <w:t>Text may be edited, amended or copied for use in other service specification templates in use in other home nations.</w:t>
            </w:r>
          </w:p>
        </w:tc>
      </w:tr>
    </w:tbl>
    <w:p w14:paraId="70789F4D" w14:textId="77777777" w:rsidR="00E428DE" w:rsidRPr="00B7395D" w:rsidRDefault="00E428DE" w:rsidP="00075A83">
      <w:pPr>
        <w:spacing w:after="0"/>
        <w:jc w:val="both"/>
        <w:rPr>
          <w:rFonts w:ascii="Verdana" w:hAnsi="Verdana" w:cs="Arial"/>
          <w:sz w:val="20"/>
          <w:lang w:val="en-GB"/>
        </w:rPr>
      </w:pPr>
    </w:p>
    <w:p w14:paraId="5E844083" w14:textId="77777777" w:rsidR="00E428DE" w:rsidRPr="00B7395D" w:rsidRDefault="00E428DE" w:rsidP="00075A83">
      <w:pPr>
        <w:spacing w:after="0"/>
        <w:jc w:val="both"/>
        <w:rPr>
          <w:rFonts w:ascii="Verdana" w:hAnsi="Verdana"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075A83" w:rsidRPr="00B7395D" w14:paraId="7250C6FD" w14:textId="77777777" w:rsidTr="00075A83">
        <w:tc>
          <w:tcPr>
            <w:tcW w:w="2970" w:type="dxa"/>
            <w:shd w:val="clear" w:color="auto" w:fill="595959"/>
          </w:tcPr>
          <w:p w14:paraId="12ABBF07" w14:textId="77777777" w:rsidR="00075A83" w:rsidRPr="00B7395D" w:rsidRDefault="00075A83" w:rsidP="006065E7">
            <w:pPr>
              <w:spacing w:after="0" w:line="360" w:lineRule="auto"/>
              <w:rPr>
                <w:rFonts w:ascii="Verdana" w:hAnsi="Verdana" w:cs="Arial"/>
                <w:b/>
                <w:color w:val="F79646"/>
                <w:lang w:val="en-GB"/>
              </w:rPr>
            </w:pPr>
            <w:r w:rsidRPr="00B7395D">
              <w:rPr>
                <w:rFonts w:ascii="Verdana" w:hAnsi="Verdana" w:cs="Arial"/>
                <w:b/>
                <w:color w:val="F79646"/>
                <w:lang w:val="en-GB"/>
              </w:rPr>
              <w:t>Service Specification No.</w:t>
            </w:r>
          </w:p>
        </w:tc>
        <w:tc>
          <w:tcPr>
            <w:tcW w:w="5444" w:type="dxa"/>
            <w:shd w:val="clear" w:color="auto" w:fill="auto"/>
            <w:vAlign w:val="center"/>
          </w:tcPr>
          <w:p w14:paraId="61CC366C" w14:textId="77777777" w:rsidR="00075A83" w:rsidRPr="00B7395D" w:rsidRDefault="00D22A43" w:rsidP="00075A83">
            <w:pPr>
              <w:spacing w:after="0"/>
              <w:rPr>
                <w:rFonts w:ascii="Verdana" w:hAnsi="Verdana" w:cs="Arial"/>
                <w:szCs w:val="22"/>
                <w:lang w:val="en-GB"/>
              </w:rPr>
            </w:pPr>
            <w:r w:rsidRPr="00B7395D">
              <w:rPr>
                <w:rFonts w:ascii="Verdana" w:hAnsi="Verdana" w:cs="Arial"/>
                <w:sz w:val="22"/>
                <w:szCs w:val="22"/>
                <w:lang w:val="en-GB"/>
              </w:rPr>
              <w:t>FRACTURE LIAISON SERVICE</w:t>
            </w:r>
          </w:p>
        </w:tc>
      </w:tr>
      <w:tr w:rsidR="00075A83" w:rsidRPr="00B7395D" w14:paraId="29EDCD5A" w14:textId="77777777" w:rsidTr="00075A83">
        <w:tc>
          <w:tcPr>
            <w:tcW w:w="2970" w:type="dxa"/>
            <w:shd w:val="clear" w:color="auto" w:fill="595959"/>
          </w:tcPr>
          <w:p w14:paraId="1FEEDE7C" w14:textId="77777777" w:rsidR="00075A83" w:rsidRPr="00B7395D" w:rsidRDefault="00075A83" w:rsidP="006065E7">
            <w:pPr>
              <w:spacing w:after="0" w:line="360" w:lineRule="auto"/>
              <w:rPr>
                <w:rFonts w:ascii="Verdana" w:hAnsi="Verdana" w:cs="Arial"/>
                <w:b/>
                <w:color w:val="F79646"/>
                <w:lang w:val="en-GB"/>
              </w:rPr>
            </w:pPr>
            <w:r w:rsidRPr="00B7395D">
              <w:rPr>
                <w:rFonts w:ascii="Verdana" w:hAnsi="Verdana" w:cs="Arial"/>
                <w:b/>
                <w:color w:val="F79646"/>
                <w:lang w:val="en-GB"/>
              </w:rPr>
              <w:t>Service</w:t>
            </w:r>
          </w:p>
        </w:tc>
        <w:tc>
          <w:tcPr>
            <w:tcW w:w="5444" w:type="dxa"/>
            <w:shd w:val="clear" w:color="auto" w:fill="auto"/>
            <w:vAlign w:val="center"/>
          </w:tcPr>
          <w:p w14:paraId="29D9F737" w14:textId="77777777" w:rsidR="00075A83" w:rsidRPr="00B7395D" w:rsidRDefault="00075A83" w:rsidP="00075A83">
            <w:pPr>
              <w:spacing w:after="0"/>
              <w:rPr>
                <w:rFonts w:ascii="Verdana" w:hAnsi="Verdana" w:cs="Arial"/>
                <w:szCs w:val="22"/>
                <w:lang w:val="en-GB"/>
              </w:rPr>
            </w:pPr>
          </w:p>
        </w:tc>
      </w:tr>
      <w:tr w:rsidR="00075A83" w:rsidRPr="00B7395D" w14:paraId="1ED98AE7" w14:textId="77777777" w:rsidTr="00075A83">
        <w:tc>
          <w:tcPr>
            <w:tcW w:w="2970" w:type="dxa"/>
            <w:shd w:val="clear" w:color="auto" w:fill="595959"/>
          </w:tcPr>
          <w:p w14:paraId="22EBBD67" w14:textId="77777777" w:rsidR="00075A83" w:rsidRPr="00B7395D" w:rsidRDefault="00075A83" w:rsidP="006065E7">
            <w:pPr>
              <w:spacing w:after="0" w:line="360" w:lineRule="auto"/>
              <w:rPr>
                <w:rFonts w:ascii="Verdana" w:hAnsi="Verdana" w:cs="Arial"/>
                <w:b/>
                <w:color w:val="F79646"/>
                <w:lang w:val="en-GB"/>
              </w:rPr>
            </w:pPr>
            <w:r w:rsidRPr="00B7395D">
              <w:rPr>
                <w:rFonts w:ascii="Verdana" w:hAnsi="Verdana" w:cs="Arial"/>
                <w:b/>
                <w:color w:val="F79646"/>
                <w:lang w:val="en-GB"/>
              </w:rPr>
              <w:t>Commissioner Lead</w:t>
            </w:r>
          </w:p>
        </w:tc>
        <w:tc>
          <w:tcPr>
            <w:tcW w:w="5444" w:type="dxa"/>
            <w:shd w:val="clear" w:color="auto" w:fill="auto"/>
            <w:vAlign w:val="center"/>
          </w:tcPr>
          <w:p w14:paraId="48CDEBBD" w14:textId="77777777" w:rsidR="00075A83" w:rsidRPr="00B7395D" w:rsidRDefault="00CA0E04" w:rsidP="00075A83">
            <w:pPr>
              <w:spacing w:after="0"/>
              <w:rPr>
                <w:rFonts w:ascii="Verdana" w:hAnsi="Verdana" w:cs="Arial"/>
                <w:b/>
                <w:szCs w:val="22"/>
                <w:lang w:val="en-GB"/>
              </w:rPr>
            </w:pPr>
            <w:r w:rsidRPr="00B7395D">
              <w:rPr>
                <w:rFonts w:ascii="Verdana" w:hAnsi="Verdana" w:cs="Arial"/>
                <w:b/>
                <w:sz w:val="22"/>
                <w:szCs w:val="22"/>
                <w:lang w:val="en-GB"/>
              </w:rPr>
              <w:t>[</w:t>
            </w:r>
            <w:r w:rsidR="0056267A" w:rsidRPr="00B7395D">
              <w:rPr>
                <w:rFonts w:ascii="Verdana" w:hAnsi="Verdana" w:cs="Arial"/>
                <w:b/>
                <w:sz w:val="22"/>
                <w:szCs w:val="22"/>
                <w:lang w:val="en-GB"/>
              </w:rPr>
              <w:t>insert name of lead commissioner</w:t>
            </w:r>
            <w:r w:rsidRPr="00B7395D">
              <w:rPr>
                <w:rFonts w:ascii="Verdana" w:hAnsi="Verdana" w:cs="Arial"/>
                <w:b/>
                <w:sz w:val="22"/>
                <w:szCs w:val="22"/>
                <w:lang w:val="en-GB"/>
              </w:rPr>
              <w:t>]</w:t>
            </w:r>
          </w:p>
        </w:tc>
      </w:tr>
      <w:tr w:rsidR="00075A83" w:rsidRPr="00B7395D" w14:paraId="4586737A" w14:textId="77777777" w:rsidTr="00075A83">
        <w:tc>
          <w:tcPr>
            <w:tcW w:w="2970" w:type="dxa"/>
            <w:shd w:val="clear" w:color="auto" w:fill="595959"/>
          </w:tcPr>
          <w:p w14:paraId="1AB28036" w14:textId="77777777" w:rsidR="00075A83" w:rsidRPr="00B7395D" w:rsidRDefault="00075A83" w:rsidP="006065E7">
            <w:pPr>
              <w:spacing w:after="0" w:line="360" w:lineRule="auto"/>
              <w:rPr>
                <w:rFonts w:ascii="Verdana" w:hAnsi="Verdana" w:cs="Arial"/>
                <w:b/>
                <w:color w:val="F79646"/>
                <w:lang w:val="en-GB"/>
              </w:rPr>
            </w:pPr>
            <w:r w:rsidRPr="00B7395D">
              <w:rPr>
                <w:rFonts w:ascii="Verdana" w:hAnsi="Verdana" w:cs="Arial"/>
                <w:b/>
                <w:color w:val="F79646"/>
                <w:lang w:val="en-GB"/>
              </w:rPr>
              <w:t>Provider Lead</w:t>
            </w:r>
          </w:p>
        </w:tc>
        <w:tc>
          <w:tcPr>
            <w:tcW w:w="5444" w:type="dxa"/>
            <w:shd w:val="clear" w:color="auto" w:fill="auto"/>
            <w:vAlign w:val="center"/>
          </w:tcPr>
          <w:p w14:paraId="4CED4540" w14:textId="77777777" w:rsidR="00075A83" w:rsidRPr="00B7395D" w:rsidRDefault="00CA0E04" w:rsidP="00075A83">
            <w:pPr>
              <w:spacing w:after="0"/>
              <w:rPr>
                <w:rFonts w:ascii="Verdana" w:hAnsi="Verdana" w:cs="Arial"/>
                <w:b/>
                <w:szCs w:val="22"/>
                <w:lang w:val="en-GB"/>
              </w:rPr>
            </w:pPr>
            <w:r w:rsidRPr="00B7395D">
              <w:rPr>
                <w:rFonts w:ascii="Verdana" w:hAnsi="Verdana" w:cs="Arial"/>
                <w:b/>
                <w:sz w:val="22"/>
                <w:szCs w:val="22"/>
                <w:lang w:val="en-GB"/>
              </w:rPr>
              <w:t>[</w:t>
            </w:r>
            <w:r w:rsidR="0056267A" w:rsidRPr="00B7395D">
              <w:rPr>
                <w:rFonts w:ascii="Verdana" w:hAnsi="Verdana" w:cs="Arial"/>
                <w:b/>
                <w:sz w:val="22"/>
                <w:szCs w:val="22"/>
                <w:lang w:val="en-GB"/>
              </w:rPr>
              <w:t>insert name of lead clinician</w:t>
            </w:r>
            <w:r w:rsidRPr="00B7395D">
              <w:rPr>
                <w:rFonts w:ascii="Verdana" w:hAnsi="Verdana" w:cs="Arial"/>
                <w:b/>
                <w:sz w:val="22"/>
                <w:szCs w:val="22"/>
                <w:lang w:val="en-GB"/>
              </w:rPr>
              <w:t>]</w:t>
            </w:r>
          </w:p>
        </w:tc>
      </w:tr>
      <w:tr w:rsidR="00075A83" w:rsidRPr="00B7395D" w14:paraId="1143A683" w14:textId="77777777" w:rsidTr="00075A83">
        <w:tc>
          <w:tcPr>
            <w:tcW w:w="2970" w:type="dxa"/>
            <w:shd w:val="clear" w:color="auto" w:fill="595959"/>
          </w:tcPr>
          <w:p w14:paraId="5208F73F" w14:textId="77777777" w:rsidR="00075A83" w:rsidRPr="00B7395D" w:rsidRDefault="00075A83" w:rsidP="006065E7">
            <w:pPr>
              <w:spacing w:after="0" w:line="360" w:lineRule="auto"/>
              <w:rPr>
                <w:rFonts w:ascii="Verdana" w:hAnsi="Verdana" w:cs="Arial"/>
                <w:b/>
                <w:color w:val="F79646"/>
                <w:lang w:val="en-GB"/>
              </w:rPr>
            </w:pPr>
            <w:r w:rsidRPr="00B7395D">
              <w:rPr>
                <w:rFonts w:ascii="Verdana" w:hAnsi="Verdana" w:cs="Arial"/>
                <w:b/>
                <w:color w:val="F79646"/>
                <w:lang w:val="en-GB"/>
              </w:rPr>
              <w:t>Period</w:t>
            </w:r>
          </w:p>
        </w:tc>
        <w:tc>
          <w:tcPr>
            <w:tcW w:w="5444" w:type="dxa"/>
            <w:shd w:val="clear" w:color="auto" w:fill="auto"/>
            <w:vAlign w:val="center"/>
          </w:tcPr>
          <w:p w14:paraId="3D020341" w14:textId="77777777" w:rsidR="00075A83" w:rsidRPr="00B7395D" w:rsidRDefault="00CA0E04" w:rsidP="00075A83">
            <w:pPr>
              <w:spacing w:after="0"/>
              <w:rPr>
                <w:rFonts w:ascii="Verdana" w:hAnsi="Verdana" w:cs="Arial"/>
                <w:b/>
                <w:szCs w:val="22"/>
                <w:lang w:val="en-GB"/>
              </w:rPr>
            </w:pPr>
            <w:r w:rsidRPr="00B7395D">
              <w:rPr>
                <w:rFonts w:ascii="Verdana" w:hAnsi="Verdana" w:cs="Arial"/>
                <w:b/>
                <w:sz w:val="22"/>
                <w:szCs w:val="22"/>
                <w:lang w:val="en-GB"/>
              </w:rPr>
              <w:t>[</w:t>
            </w:r>
            <w:r w:rsidR="0056267A" w:rsidRPr="00B7395D">
              <w:rPr>
                <w:rFonts w:ascii="Verdana" w:hAnsi="Verdana" w:cs="Arial"/>
                <w:b/>
                <w:sz w:val="22"/>
                <w:szCs w:val="22"/>
                <w:lang w:val="en-GB"/>
              </w:rPr>
              <w:t>insert time period</w:t>
            </w:r>
            <w:r w:rsidRPr="00B7395D">
              <w:rPr>
                <w:rFonts w:ascii="Verdana" w:hAnsi="Verdana" w:cs="Arial"/>
                <w:b/>
                <w:sz w:val="22"/>
                <w:szCs w:val="22"/>
                <w:lang w:val="en-GB"/>
              </w:rPr>
              <w:t>]</w:t>
            </w:r>
          </w:p>
        </w:tc>
      </w:tr>
      <w:tr w:rsidR="00075A83" w:rsidRPr="00B7395D" w14:paraId="68CD0E72" w14:textId="77777777" w:rsidTr="00075A83">
        <w:tc>
          <w:tcPr>
            <w:tcW w:w="2970" w:type="dxa"/>
            <w:shd w:val="clear" w:color="auto" w:fill="595959"/>
          </w:tcPr>
          <w:p w14:paraId="6B57B785" w14:textId="77777777" w:rsidR="00075A83" w:rsidRPr="00B7395D" w:rsidRDefault="00075A83" w:rsidP="006065E7">
            <w:pPr>
              <w:spacing w:after="0" w:line="360" w:lineRule="auto"/>
              <w:rPr>
                <w:rFonts w:ascii="Verdana" w:hAnsi="Verdana" w:cs="Arial"/>
                <w:b/>
                <w:color w:val="F79646"/>
                <w:lang w:val="en-GB"/>
              </w:rPr>
            </w:pPr>
            <w:r w:rsidRPr="00B7395D">
              <w:rPr>
                <w:rFonts w:ascii="Verdana" w:hAnsi="Verdana" w:cs="Arial"/>
                <w:b/>
                <w:color w:val="F79646"/>
                <w:lang w:val="en-GB"/>
              </w:rPr>
              <w:t>Date of Review</w:t>
            </w:r>
          </w:p>
        </w:tc>
        <w:tc>
          <w:tcPr>
            <w:tcW w:w="5444" w:type="dxa"/>
            <w:shd w:val="clear" w:color="auto" w:fill="auto"/>
            <w:vAlign w:val="center"/>
          </w:tcPr>
          <w:p w14:paraId="1F28518B" w14:textId="77777777" w:rsidR="00075A83" w:rsidRPr="00B7395D" w:rsidRDefault="00CA0E04" w:rsidP="00075A83">
            <w:pPr>
              <w:spacing w:after="0"/>
              <w:rPr>
                <w:rFonts w:ascii="Verdana" w:hAnsi="Verdana" w:cs="Arial"/>
                <w:b/>
                <w:szCs w:val="22"/>
                <w:lang w:val="en-GB"/>
              </w:rPr>
            </w:pPr>
            <w:r w:rsidRPr="00B7395D">
              <w:rPr>
                <w:rFonts w:ascii="Verdana" w:hAnsi="Verdana" w:cs="Arial"/>
                <w:b/>
                <w:sz w:val="22"/>
                <w:szCs w:val="22"/>
                <w:lang w:val="en-GB"/>
              </w:rPr>
              <w:t>[</w:t>
            </w:r>
            <w:r w:rsidR="0056267A" w:rsidRPr="00B7395D">
              <w:rPr>
                <w:rFonts w:ascii="Verdana" w:hAnsi="Verdana" w:cs="Arial"/>
                <w:b/>
                <w:sz w:val="22"/>
                <w:szCs w:val="22"/>
                <w:lang w:val="en-GB"/>
              </w:rPr>
              <w:t>insert review date</w:t>
            </w:r>
            <w:r w:rsidRPr="00B7395D">
              <w:rPr>
                <w:rFonts w:ascii="Verdana" w:hAnsi="Verdana" w:cs="Arial"/>
                <w:b/>
                <w:sz w:val="22"/>
                <w:szCs w:val="22"/>
                <w:lang w:val="en-GB"/>
              </w:rPr>
              <w:t>]</w:t>
            </w:r>
          </w:p>
        </w:tc>
      </w:tr>
    </w:tbl>
    <w:p w14:paraId="1DB01A29" w14:textId="77777777" w:rsidR="00075A83" w:rsidRPr="00B7395D" w:rsidRDefault="00075A83" w:rsidP="00075A83">
      <w:pPr>
        <w:spacing w:after="0"/>
        <w:jc w:val="center"/>
        <w:rPr>
          <w:rFonts w:ascii="Verdana" w:hAnsi="Verdana"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75A83" w:rsidRPr="00B7395D" w14:paraId="78261167" w14:textId="77777777" w:rsidTr="007D3594">
        <w:trPr>
          <w:trHeight w:val="121"/>
        </w:trPr>
        <w:tc>
          <w:tcPr>
            <w:tcW w:w="8908" w:type="dxa"/>
            <w:shd w:val="clear" w:color="auto" w:fill="595959"/>
          </w:tcPr>
          <w:p w14:paraId="07E85C35" w14:textId="77777777" w:rsidR="00075A83" w:rsidRPr="00B7395D" w:rsidRDefault="00075A83" w:rsidP="007759C1">
            <w:pPr>
              <w:pStyle w:val="Mainheading"/>
              <w:rPr>
                <w:rFonts w:ascii="Verdana" w:hAnsi="Verdana"/>
              </w:rPr>
            </w:pPr>
            <w:r w:rsidRPr="00B7395D">
              <w:rPr>
                <w:rFonts w:ascii="Verdana" w:hAnsi="Verdana"/>
              </w:rPr>
              <w:t>1.</w:t>
            </w:r>
            <w:r w:rsidRPr="00B7395D">
              <w:rPr>
                <w:rFonts w:ascii="Verdana" w:hAnsi="Verdana"/>
              </w:rPr>
              <w:tab/>
              <w:t>Population Needs</w:t>
            </w:r>
          </w:p>
        </w:tc>
      </w:tr>
      <w:tr w:rsidR="00075A83" w:rsidRPr="00B7395D" w14:paraId="7A69B4B1" w14:textId="77777777" w:rsidTr="007D3594">
        <w:trPr>
          <w:trHeight w:val="121"/>
        </w:trPr>
        <w:tc>
          <w:tcPr>
            <w:tcW w:w="8908" w:type="dxa"/>
            <w:shd w:val="clear" w:color="auto" w:fill="auto"/>
          </w:tcPr>
          <w:p w14:paraId="67768670" w14:textId="77777777" w:rsidR="00051C41" w:rsidRPr="00B7395D" w:rsidRDefault="00246A4E" w:rsidP="008E637D">
            <w:pPr>
              <w:pStyle w:val="Sub-heading"/>
              <w:numPr>
                <w:ilvl w:val="0"/>
                <w:numId w:val="0"/>
              </w:numPr>
              <w:ind w:left="714" w:hanging="357"/>
              <w:rPr>
                <w:rFonts w:ascii="Verdana" w:hAnsi="Verdana"/>
              </w:rPr>
            </w:pPr>
            <w:r w:rsidRPr="00B7395D">
              <w:rPr>
                <w:rFonts w:ascii="Verdana" w:hAnsi="Verdana"/>
              </w:rPr>
              <w:t>National Context</w:t>
            </w:r>
          </w:p>
          <w:p w14:paraId="491077CA" w14:textId="29E2AF61" w:rsidR="00236B23" w:rsidRPr="00B7395D" w:rsidRDefault="0053284D" w:rsidP="00B451EC">
            <w:pPr>
              <w:pStyle w:val="Body1"/>
              <w:rPr>
                <w:rFonts w:ascii="Verdana" w:hAnsi="Verdana"/>
              </w:rPr>
            </w:pPr>
            <w:r w:rsidRPr="00B7395D">
              <w:rPr>
                <w:rFonts w:ascii="Verdana" w:hAnsi="Verdana"/>
              </w:rPr>
              <w:t xml:space="preserve">Over </w:t>
            </w:r>
            <w:r w:rsidR="00504619" w:rsidRPr="00B7395D">
              <w:rPr>
                <w:rFonts w:ascii="Verdana" w:hAnsi="Verdana"/>
              </w:rPr>
              <w:t>three</w:t>
            </w:r>
            <w:r w:rsidR="00EA525E" w:rsidRPr="00B7395D">
              <w:rPr>
                <w:rFonts w:ascii="Verdana" w:hAnsi="Verdana"/>
              </w:rPr>
              <w:t xml:space="preserve"> million people in the UK have osteoporosis</w:t>
            </w:r>
            <w:r w:rsidR="00236B23" w:rsidRPr="00B7395D">
              <w:rPr>
                <w:rFonts w:ascii="Verdana" w:hAnsi="Verdana"/>
              </w:rPr>
              <w:t>; t</w:t>
            </w:r>
            <w:r w:rsidR="00840A43" w:rsidRPr="00B7395D">
              <w:rPr>
                <w:rFonts w:ascii="Verdana" w:hAnsi="Verdana"/>
              </w:rPr>
              <w:t xml:space="preserve">hese people </w:t>
            </w:r>
            <w:r w:rsidR="00504619" w:rsidRPr="00B7395D">
              <w:rPr>
                <w:rFonts w:ascii="Verdana" w:hAnsi="Verdana"/>
              </w:rPr>
              <w:t>are at a substantially</w:t>
            </w:r>
            <w:r w:rsidR="00840A43" w:rsidRPr="00B7395D">
              <w:rPr>
                <w:rFonts w:ascii="Verdana" w:hAnsi="Verdana"/>
              </w:rPr>
              <w:t xml:space="preserve"> increased risk of </w:t>
            </w:r>
            <w:r w:rsidRPr="00B7395D">
              <w:rPr>
                <w:rFonts w:ascii="Verdana" w:hAnsi="Verdana"/>
              </w:rPr>
              <w:t>fragility</w:t>
            </w:r>
            <w:r w:rsidR="00840A43" w:rsidRPr="00B7395D">
              <w:rPr>
                <w:rFonts w:ascii="Verdana" w:hAnsi="Verdana"/>
              </w:rPr>
              <w:t xml:space="preserve"> fractures</w:t>
            </w:r>
            <w:r w:rsidR="00816C4A">
              <w:rPr>
                <w:rFonts w:ascii="Verdana" w:hAnsi="Verdana"/>
              </w:rPr>
              <w:t>.</w:t>
            </w:r>
            <w:r w:rsidR="003B2C77">
              <w:rPr>
                <w:rStyle w:val="EndnoteReference"/>
                <w:rFonts w:ascii="Verdana" w:hAnsi="Verdana"/>
              </w:rPr>
              <w:endnoteReference w:id="1"/>
            </w:r>
            <w:r w:rsidR="00816C4A">
              <w:rPr>
                <w:rFonts w:ascii="Verdana" w:hAnsi="Verdana"/>
              </w:rPr>
              <w:t xml:space="preserve"> </w:t>
            </w:r>
            <w:r w:rsidR="00EA6DF4">
              <w:rPr>
                <w:rFonts w:ascii="Verdana" w:hAnsi="Verdana"/>
              </w:rPr>
              <w:t xml:space="preserve"> </w:t>
            </w:r>
            <w:r w:rsidR="003E4F18" w:rsidRPr="00B7395D">
              <w:rPr>
                <w:rFonts w:ascii="Verdana" w:hAnsi="Verdana"/>
              </w:rPr>
              <w:t>Every year</w:t>
            </w:r>
            <w:r w:rsidR="00EA6DF4">
              <w:rPr>
                <w:rFonts w:ascii="Verdana" w:hAnsi="Verdana"/>
              </w:rPr>
              <w:t>,</w:t>
            </w:r>
            <w:r w:rsidR="003E4F18" w:rsidRPr="00B7395D">
              <w:rPr>
                <w:rFonts w:ascii="Verdana" w:hAnsi="Verdana"/>
              </w:rPr>
              <w:t xml:space="preserve"> </w:t>
            </w:r>
            <w:r w:rsidR="005342E8" w:rsidRPr="00B7395D">
              <w:rPr>
                <w:rFonts w:ascii="Verdana" w:hAnsi="Verdana"/>
              </w:rPr>
              <w:t xml:space="preserve">in the UK </w:t>
            </w:r>
            <w:r w:rsidR="003E4F18" w:rsidRPr="00B7395D">
              <w:rPr>
                <w:rFonts w:ascii="Verdana" w:hAnsi="Verdana"/>
              </w:rPr>
              <w:t>hip fractures</w:t>
            </w:r>
            <w:r w:rsidR="00B451EC" w:rsidRPr="00B7395D">
              <w:rPr>
                <w:rFonts w:ascii="Verdana" w:hAnsi="Verdana"/>
              </w:rPr>
              <w:t xml:space="preserve"> alone</w:t>
            </w:r>
            <w:r w:rsidR="003E4F18" w:rsidRPr="00B7395D">
              <w:rPr>
                <w:rFonts w:ascii="Verdana" w:hAnsi="Verdana"/>
              </w:rPr>
              <w:t xml:space="preserve"> </w:t>
            </w:r>
            <w:r w:rsidR="00B451EC" w:rsidRPr="00B7395D">
              <w:rPr>
                <w:rFonts w:ascii="Verdana" w:hAnsi="Verdana"/>
              </w:rPr>
              <w:t>account for 1.8 million hospital bed days and £1.9 billion in hospital costs, excluding the high cost of social care.</w:t>
            </w:r>
            <w:r w:rsidR="003B2C77">
              <w:rPr>
                <w:rStyle w:val="EndnoteReference"/>
                <w:rFonts w:ascii="Verdana" w:hAnsi="Verdana"/>
              </w:rPr>
              <w:endnoteReference w:id="2"/>
            </w:r>
            <w:r w:rsidR="003B2C77" w:rsidRPr="003B2C77">
              <w:rPr>
                <w:rFonts w:ascii="Verdana" w:hAnsi="Verdana"/>
                <w:vertAlign w:val="superscript"/>
              </w:rPr>
              <w:t>,</w:t>
            </w:r>
            <w:r w:rsidR="003B2C77">
              <w:rPr>
                <w:rStyle w:val="EndnoteReference"/>
                <w:rFonts w:ascii="Verdana" w:hAnsi="Verdana"/>
              </w:rPr>
              <w:endnoteReference w:id="3"/>
            </w:r>
          </w:p>
          <w:p w14:paraId="17D058F3" w14:textId="77777777" w:rsidR="00A60659" w:rsidRPr="00B7395D" w:rsidRDefault="00246A4E" w:rsidP="000B2192">
            <w:pPr>
              <w:spacing w:after="120"/>
              <w:ind w:left="357"/>
              <w:rPr>
                <w:rFonts w:ascii="Verdana" w:hAnsi="Verdana" w:cs="Arial"/>
                <w:color w:val="000000" w:themeColor="text1"/>
                <w:szCs w:val="22"/>
                <w:lang w:val="en-GB"/>
              </w:rPr>
            </w:pPr>
            <w:r w:rsidRPr="00B7395D">
              <w:rPr>
                <w:rFonts w:ascii="Verdana" w:hAnsi="Verdana" w:cs="Arial"/>
                <w:color w:val="000000" w:themeColor="text1"/>
                <w:sz w:val="22"/>
                <w:szCs w:val="22"/>
                <w:lang w:val="en-GB"/>
              </w:rPr>
              <w:t xml:space="preserve">Preventing </w:t>
            </w:r>
            <w:r w:rsidR="003C13E5" w:rsidRPr="00B7395D">
              <w:rPr>
                <w:rFonts w:ascii="Verdana" w:hAnsi="Verdana" w:cs="Arial"/>
                <w:color w:val="000000" w:themeColor="text1"/>
                <w:sz w:val="22"/>
                <w:szCs w:val="22"/>
                <w:lang w:val="en-GB"/>
              </w:rPr>
              <w:t xml:space="preserve">fragility </w:t>
            </w:r>
            <w:r w:rsidRPr="00B7395D">
              <w:rPr>
                <w:rFonts w:ascii="Verdana" w:hAnsi="Verdana" w:cs="Arial"/>
                <w:color w:val="000000" w:themeColor="text1"/>
                <w:sz w:val="22"/>
                <w:szCs w:val="22"/>
                <w:lang w:val="en-GB"/>
              </w:rPr>
              <w:t xml:space="preserve">fractures and </w:t>
            </w:r>
            <w:r w:rsidR="007C0783" w:rsidRPr="00B7395D">
              <w:rPr>
                <w:rFonts w:ascii="Verdana" w:hAnsi="Verdana" w:cs="Arial"/>
                <w:color w:val="000000" w:themeColor="text1"/>
                <w:sz w:val="22"/>
                <w:szCs w:val="22"/>
                <w:lang w:val="en-GB"/>
              </w:rPr>
              <w:t xml:space="preserve">the </w:t>
            </w:r>
            <w:r w:rsidRPr="00B7395D">
              <w:rPr>
                <w:rFonts w:ascii="Verdana" w:hAnsi="Verdana" w:cs="Arial"/>
                <w:color w:val="000000" w:themeColor="text1"/>
                <w:sz w:val="22"/>
                <w:szCs w:val="22"/>
                <w:lang w:val="en-GB"/>
              </w:rPr>
              <w:t xml:space="preserve">resulting hospital admissions is clinically and economically effective and will result in </w:t>
            </w:r>
            <w:r w:rsidR="006351F4" w:rsidRPr="00B7395D">
              <w:rPr>
                <w:rFonts w:ascii="Verdana" w:hAnsi="Verdana" w:cs="Arial"/>
                <w:color w:val="000000" w:themeColor="text1"/>
                <w:sz w:val="22"/>
                <w:szCs w:val="22"/>
                <w:lang w:val="en-GB"/>
              </w:rPr>
              <w:t xml:space="preserve">substantial </w:t>
            </w:r>
            <w:r w:rsidRPr="00B7395D">
              <w:rPr>
                <w:rFonts w:ascii="Verdana" w:hAnsi="Verdana" w:cs="Arial"/>
                <w:color w:val="000000" w:themeColor="text1"/>
                <w:sz w:val="22"/>
                <w:szCs w:val="22"/>
                <w:lang w:val="en-GB"/>
              </w:rPr>
              <w:t xml:space="preserve">cost savings for </w:t>
            </w:r>
            <w:r w:rsidR="006351F4" w:rsidRPr="00B7395D">
              <w:rPr>
                <w:rFonts w:ascii="Verdana" w:hAnsi="Verdana" w:cs="Arial"/>
                <w:color w:val="000000" w:themeColor="text1"/>
                <w:sz w:val="22"/>
                <w:szCs w:val="22"/>
                <w:lang w:val="en-GB"/>
              </w:rPr>
              <w:t>health and social care services</w:t>
            </w:r>
            <w:r w:rsidRPr="00B7395D">
              <w:rPr>
                <w:rFonts w:ascii="Verdana" w:hAnsi="Verdana" w:cs="Arial"/>
                <w:color w:val="000000" w:themeColor="text1"/>
                <w:sz w:val="22"/>
                <w:szCs w:val="22"/>
                <w:lang w:val="en-GB"/>
              </w:rPr>
              <w:t xml:space="preserve">. </w:t>
            </w:r>
          </w:p>
          <w:p w14:paraId="2EF13094" w14:textId="77777777" w:rsidR="00194D0B" w:rsidRPr="00B7395D" w:rsidRDefault="00194D0B" w:rsidP="000B2192">
            <w:pPr>
              <w:spacing w:after="120"/>
              <w:ind w:left="357"/>
              <w:rPr>
                <w:rFonts w:ascii="Verdana" w:hAnsi="Verdana" w:cs="Arial"/>
                <w:color w:val="000000" w:themeColor="text1"/>
                <w:szCs w:val="22"/>
                <w:lang w:val="en-GB"/>
              </w:rPr>
            </w:pPr>
          </w:p>
          <w:p w14:paraId="75E1707C" w14:textId="77777777" w:rsidR="00075A83" w:rsidRPr="00B7395D" w:rsidRDefault="00D22A43" w:rsidP="008E637D">
            <w:pPr>
              <w:pStyle w:val="Sub-heading"/>
              <w:numPr>
                <w:ilvl w:val="0"/>
                <w:numId w:val="0"/>
              </w:numPr>
              <w:ind w:left="714" w:hanging="357"/>
              <w:rPr>
                <w:rFonts w:ascii="Verdana" w:hAnsi="Verdana"/>
              </w:rPr>
            </w:pPr>
            <w:r w:rsidRPr="00B7395D">
              <w:rPr>
                <w:rFonts w:ascii="Verdana" w:hAnsi="Verdana"/>
              </w:rPr>
              <w:t>Evidence Base</w:t>
            </w:r>
          </w:p>
          <w:p w14:paraId="64A53344" w14:textId="77777777" w:rsidR="003C13E5" w:rsidRPr="00B7395D" w:rsidRDefault="00D22A43" w:rsidP="0026228C">
            <w:pPr>
              <w:pStyle w:val="Body1"/>
              <w:rPr>
                <w:rFonts w:ascii="Verdana" w:hAnsi="Verdana"/>
              </w:rPr>
            </w:pPr>
            <w:r w:rsidRPr="00B7395D">
              <w:rPr>
                <w:rFonts w:ascii="Verdana" w:hAnsi="Verdana"/>
              </w:rPr>
              <w:t xml:space="preserve">The best way </w:t>
            </w:r>
            <w:r w:rsidR="007C0783" w:rsidRPr="00B7395D">
              <w:rPr>
                <w:rFonts w:ascii="Verdana" w:hAnsi="Verdana"/>
              </w:rPr>
              <w:t>to reduce</w:t>
            </w:r>
            <w:r w:rsidRPr="00B7395D">
              <w:rPr>
                <w:rFonts w:ascii="Verdana" w:hAnsi="Verdana"/>
              </w:rPr>
              <w:t xml:space="preserve"> the number of fragility fractures suffered by older people is </w:t>
            </w:r>
            <w:r w:rsidR="006351F4" w:rsidRPr="00B7395D">
              <w:rPr>
                <w:rFonts w:ascii="Verdana" w:hAnsi="Verdana"/>
              </w:rPr>
              <w:t>through the</w:t>
            </w:r>
            <w:r w:rsidR="003C13E5" w:rsidRPr="00B7395D">
              <w:rPr>
                <w:rFonts w:ascii="Verdana" w:hAnsi="Verdana"/>
              </w:rPr>
              <w:t xml:space="preserve"> develop</w:t>
            </w:r>
            <w:r w:rsidR="006351F4" w:rsidRPr="00B7395D">
              <w:rPr>
                <w:rFonts w:ascii="Verdana" w:hAnsi="Verdana"/>
              </w:rPr>
              <w:t>ment of</w:t>
            </w:r>
            <w:r w:rsidR="003C13E5" w:rsidRPr="00B7395D">
              <w:rPr>
                <w:rFonts w:ascii="Verdana" w:hAnsi="Verdana"/>
              </w:rPr>
              <w:t xml:space="preserve"> </w:t>
            </w:r>
            <w:r w:rsidR="006351F4" w:rsidRPr="00B7395D">
              <w:rPr>
                <w:rFonts w:ascii="Verdana" w:hAnsi="Verdana"/>
              </w:rPr>
              <w:t>local</w:t>
            </w:r>
            <w:r w:rsidR="003C13E5" w:rsidRPr="00B7395D">
              <w:rPr>
                <w:rFonts w:ascii="Verdana" w:hAnsi="Verdana"/>
              </w:rPr>
              <w:t xml:space="preserve"> </w:t>
            </w:r>
            <w:r w:rsidR="00112D17" w:rsidRPr="00B7395D">
              <w:rPr>
                <w:rFonts w:ascii="Verdana" w:hAnsi="Verdana"/>
              </w:rPr>
              <w:t>F</w:t>
            </w:r>
            <w:r w:rsidR="003C13E5" w:rsidRPr="00B7395D">
              <w:rPr>
                <w:rFonts w:ascii="Verdana" w:hAnsi="Verdana"/>
              </w:rPr>
              <w:t xml:space="preserve">racture </w:t>
            </w:r>
            <w:r w:rsidR="00112D17" w:rsidRPr="00B7395D">
              <w:rPr>
                <w:rFonts w:ascii="Verdana" w:hAnsi="Verdana"/>
              </w:rPr>
              <w:t>L</w:t>
            </w:r>
            <w:r w:rsidR="003C13E5" w:rsidRPr="00B7395D">
              <w:rPr>
                <w:rFonts w:ascii="Verdana" w:hAnsi="Verdana"/>
              </w:rPr>
              <w:t xml:space="preserve">iaison </w:t>
            </w:r>
            <w:r w:rsidR="00112D17" w:rsidRPr="00B7395D">
              <w:rPr>
                <w:rFonts w:ascii="Verdana" w:hAnsi="Verdana"/>
              </w:rPr>
              <w:t>S</w:t>
            </w:r>
            <w:r w:rsidR="003C13E5" w:rsidRPr="00B7395D">
              <w:rPr>
                <w:rFonts w:ascii="Verdana" w:hAnsi="Verdana"/>
              </w:rPr>
              <w:t>ervice</w:t>
            </w:r>
            <w:r w:rsidR="006351F4" w:rsidRPr="00B7395D">
              <w:rPr>
                <w:rFonts w:ascii="Verdana" w:hAnsi="Verdana"/>
              </w:rPr>
              <w:t>s</w:t>
            </w:r>
            <w:r w:rsidR="007C0783" w:rsidRPr="00B7395D">
              <w:rPr>
                <w:rFonts w:ascii="Verdana" w:hAnsi="Verdana"/>
              </w:rPr>
              <w:t xml:space="preserve"> (FLS)</w:t>
            </w:r>
            <w:r w:rsidR="003C13E5" w:rsidRPr="00B7395D">
              <w:rPr>
                <w:rFonts w:ascii="Verdana" w:hAnsi="Verdana"/>
              </w:rPr>
              <w:t>.</w:t>
            </w:r>
            <w:r w:rsidR="00B73CB9">
              <w:rPr>
                <w:rFonts w:ascii="Verdana" w:hAnsi="Verdana"/>
              </w:rPr>
              <w:t xml:space="preserve">  Any effective FLS will reduce the relative risk of refracture by 30% for all fractures and 40% for major fractures.</w:t>
            </w:r>
            <w:r w:rsidR="00B73CB9">
              <w:rPr>
                <w:rStyle w:val="EndnoteReference"/>
                <w:rFonts w:ascii="Verdana" w:hAnsi="Verdana"/>
              </w:rPr>
              <w:endnoteReference w:id="4"/>
            </w:r>
          </w:p>
          <w:p w14:paraId="30AC9909" w14:textId="77777777" w:rsidR="00E428DE" w:rsidRPr="00B7395D" w:rsidRDefault="00112D17" w:rsidP="0026228C">
            <w:pPr>
              <w:pStyle w:val="Body1"/>
              <w:rPr>
                <w:rFonts w:ascii="Verdana" w:hAnsi="Verdana"/>
              </w:rPr>
            </w:pPr>
            <w:r w:rsidRPr="00B7395D">
              <w:rPr>
                <w:rFonts w:ascii="Verdana" w:hAnsi="Verdana"/>
              </w:rPr>
              <w:t>FLSs</w:t>
            </w:r>
            <w:r w:rsidR="00E428DE" w:rsidRPr="00B7395D">
              <w:rPr>
                <w:rFonts w:ascii="Verdana" w:hAnsi="Verdana"/>
              </w:rPr>
              <w:t xml:space="preserve"> </w:t>
            </w:r>
            <w:r w:rsidR="00D31CF0" w:rsidRPr="00B7395D">
              <w:rPr>
                <w:rFonts w:ascii="Verdana" w:hAnsi="Verdana"/>
              </w:rPr>
              <w:t>systematically identif</w:t>
            </w:r>
            <w:r w:rsidR="006351F4" w:rsidRPr="00B7395D">
              <w:rPr>
                <w:rFonts w:ascii="Verdana" w:hAnsi="Verdana"/>
              </w:rPr>
              <w:t>y</w:t>
            </w:r>
            <w:r w:rsidR="00D31CF0" w:rsidRPr="00B7395D">
              <w:rPr>
                <w:rFonts w:ascii="Verdana" w:hAnsi="Verdana"/>
              </w:rPr>
              <w:t xml:space="preserve">, treat and refer to </w:t>
            </w:r>
            <w:r w:rsidR="00E428DE" w:rsidRPr="00B7395D">
              <w:rPr>
                <w:rFonts w:ascii="Verdana" w:hAnsi="Verdana"/>
              </w:rPr>
              <w:t xml:space="preserve">appropriate services all eligible patients over 50 who have suffered </w:t>
            </w:r>
            <w:r w:rsidR="00E47663">
              <w:rPr>
                <w:rFonts w:ascii="Verdana" w:hAnsi="Verdana"/>
              </w:rPr>
              <w:t xml:space="preserve">a </w:t>
            </w:r>
            <w:r w:rsidR="00E428DE" w:rsidRPr="00B7395D">
              <w:rPr>
                <w:rFonts w:ascii="Verdana" w:hAnsi="Verdana"/>
              </w:rPr>
              <w:t>fragility fracture, with the aim of reducing their risk of subsequent fractures.</w:t>
            </w:r>
          </w:p>
          <w:p w14:paraId="6877C63C" w14:textId="2493C344" w:rsidR="008F4272" w:rsidRPr="00B7395D" w:rsidRDefault="00450EAF" w:rsidP="0026228C">
            <w:pPr>
              <w:pStyle w:val="Body1"/>
              <w:rPr>
                <w:rFonts w:ascii="Verdana" w:hAnsi="Verdana"/>
              </w:rPr>
            </w:pPr>
            <w:r w:rsidRPr="00B7395D">
              <w:rPr>
                <w:rFonts w:ascii="Verdana" w:hAnsi="Verdana"/>
              </w:rPr>
              <w:t xml:space="preserve">Most primary care organisations </w:t>
            </w:r>
            <w:r w:rsidR="006351F4" w:rsidRPr="00B7395D">
              <w:rPr>
                <w:rFonts w:ascii="Verdana" w:hAnsi="Verdana"/>
              </w:rPr>
              <w:t xml:space="preserve">do not have access to </w:t>
            </w:r>
            <w:r w:rsidRPr="00B7395D">
              <w:rPr>
                <w:rFonts w:ascii="Verdana" w:hAnsi="Verdana"/>
              </w:rPr>
              <w:t>services for secondary fracture prevention</w:t>
            </w:r>
            <w:r w:rsidR="006351F4" w:rsidRPr="00B7395D">
              <w:rPr>
                <w:rFonts w:ascii="Verdana" w:hAnsi="Verdana"/>
              </w:rPr>
              <w:t>;</w:t>
            </w:r>
            <w:r w:rsidRPr="00B7395D">
              <w:rPr>
                <w:rFonts w:ascii="Verdana" w:hAnsi="Verdana"/>
              </w:rPr>
              <w:t xml:space="preserve"> </w:t>
            </w:r>
            <w:r w:rsidR="005C283C" w:rsidRPr="00B7395D">
              <w:rPr>
                <w:rFonts w:ascii="Verdana" w:hAnsi="Verdana"/>
              </w:rPr>
              <w:t>currently</w:t>
            </w:r>
            <w:r w:rsidR="00B451EC" w:rsidRPr="00B7395D">
              <w:rPr>
                <w:rFonts w:ascii="Verdana" w:eastAsia="Times New Roman" w:hAnsi="Verdana"/>
              </w:rPr>
              <w:t xml:space="preserve"> only 42% of health economies in the UK offer some form of FLS.</w:t>
            </w:r>
            <w:r w:rsidR="003B2C77">
              <w:rPr>
                <w:rStyle w:val="EndnoteReference"/>
                <w:rFonts w:ascii="Verdana" w:eastAsia="Times New Roman" w:hAnsi="Verdana"/>
              </w:rPr>
              <w:endnoteReference w:id="5"/>
            </w:r>
            <w:r w:rsidR="00575D77" w:rsidRPr="00575D77">
              <w:rPr>
                <w:rFonts w:ascii="Verdana" w:eastAsia="Times New Roman" w:hAnsi="Verdana"/>
                <w:vertAlign w:val="superscript"/>
              </w:rPr>
              <w:t>,</w:t>
            </w:r>
            <w:r w:rsidR="00575D77">
              <w:rPr>
                <w:rStyle w:val="EndnoteReference"/>
                <w:rFonts w:ascii="Verdana" w:eastAsia="Times New Roman" w:hAnsi="Verdana"/>
              </w:rPr>
              <w:endnoteReference w:id="6"/>
            </w:r>
            <w:r w:rsidR="00816C4A">
              <w:rPr>
                <w:rFonts w:ascii="Verdana" w:hAnsi="Verdana"/>
              </w:rPr>
              <w:t xml:space="preserve"> </w:t>
            </w:r>
            <w:r w:rsidR="008F4272" w:rsidRPr="00B7395D">
              <w:rPr>
                <w:rFonts w:ascii="Verdana" w:hAnsi="Verdana"/>
              </w:rPr>
              <w:t>Prevention of a second</w:t>
            </w:r>
            <w:r w:rsidR="006351F4" w:rsidRPr="00B7395D">
              <w:rPr>
                <w:rFonts w:ascii="Verdana" w:hAnsi="Verdana"/>
              </w:rPr>
              <w:t>ary</w:t>
            </w:r>
            <w:r w:rsidR="008F4272" w:rsidRPr="00B7395D">
              <w:rPr>
                <w:rFonts w:ascii="Verdana" w:hAnsi="Verdana"/>
              </w:rPr>
              <w:t xml:space="preserve"> fracture improves quality of life</w:t>
            </w:r>
            <w:r w:rsidR="003C13E5" w:rsidRPr="00B7395D">
              <w:rPr>
                <w:rFonts w:ascii="Verdana" w:hAnsi="Verdana"/>
              </w:rPr>
              <w:t>,</w:t>
            </w:r>
            <w:r w:rsidR="008F280E" w:rsidRPr="00B7395D">
              <w:rPr>
                <w:rFonts w:ascii="Verdana" w:hAnsi="Verdana"/>
              </w:rPr>
              <w:t xml:space="preserve"> </w:t>
            </w:r>
            <w:r w:rsidR="006351F4" w:rsidRPr="00B7395D">
              <w:rPr>
                <w:rFonts w:ascii="Verdana" w:hAnsi="Verdana"/>
              </w:rPr>
              <w:t xml:space="preserve">as well as </w:t>
            </w:r>
            <w:r w:rsidR="008F4272" w:rsidRPr="00B7395D">
              <w:rPr>
                <w:rFonts w:ascii="Verdana" w:hAnsi="Verdana"/>
              </w:rPr>
              <w:t>reduc</w:t>
            </w:r>
            <w:r w:rsidR="006351F4" w:rsidRPr="00B7395D">
              <w:rPr>
                <w:rFonts w:ascii="Verdana" w:hAnsi="Verdana"/>
              </w:rPr>
              <w:t>ing</w:t>
            </w:r>
            <w:r w:rsidR="008F4272" w:rsidRPr="00B7395D">
              <w:rPr>
                <w:rFonts w:ascii="Verdana" w:hAnsi="Verdana"/>
              </w:rPr>
              <w:t xml:space="preserve"> </w:t>
            </w:r>
            <w:r w:rsidR="00816C4A" w:rsidRPr="00B7395D">
              <w:rPr>
                <w:rFonts w:ascii="Verdana" w:hAnsi="Verdana"/>
              </w:rPr>
              <w:t xml:space="preserve">hospital admissions </w:t>
            </w:r>
            <w:r w:rsidR="00816C4A">
              <w:rPr>
                <w:rFonts w:ascii="Verdana" w:hAnsi="Verdana"/>
              </w:rPr>
              <w:t xml:space="preserve">and </w:t>
            </w:r>
            <w:r w:rsidR="008F4272" w:rsidRPr="00B7395D">
              <w:rPr>
                <w:rFonts w:ascii="Verdana" w:hAnsi="Verdana"/>
              </w:rPr>
              <w:t>health and social care costs</w:t>
            </w:r>
            <w:r w:rsidR="002D4FE0" w:rsidRPr="00B7395D">
              <w:rPr>
                <w:rFonts w:ascii="Verdana" w:hAnsi="Verdana"/>
              </w:rPr>
              <w:t>.</w:t>
            </w:r>
            <w:r w:rsidR="00816C4A">
              <w:rPr>
                <w:rFonts w:ascii="Verdana" w:hAnsi="Verdana"/>
              </w:rPr>
              <w:t xml:space="preserve"> </w:t>
            </w:r>
            <w:r w:rsidR="002D4FE0" w:rsidRPr="00B7395D">
              <w:rPr>
                <w:rFonts w:ascii="Verdana" w:hAnsi="Verdana"/>
              </w:rPr>
              <w:t xml:space="preserve">Therefore </w:t>
            </w:r>
            <w:r w:rsidR="00816C4A">
              <w:rPr>
                <w:rFonts w:ascii="Verdana" w:hAnsi="Verdana"/>
              </w:rPr>
              <w:t xml:space="preserve">an </w:t>
            </w:r>
            <w:r w:rsidR="002D4FE0" w:rsidRPr="00B7395D">
              <w:rPr>
                <w:rFonts w:ascii="Verdana" w:hAnsi="Verdana"/>
              </w:rPr>
              <w:t xml:space="preserve">FLS is an important </w:t>
            </w:r>
            <w:r w:rsidR="00816C4A">
              <w:rPr>
                <w:rFonts w:ascii="Verdana" w:hAnsi="Verdana"/>
              </w:rPr>
              <w:t>service</w:t>
            </w:r>
            <w:r w:rsidR="002D4FE0" w:rsidRPr="00B7395D">
              <w:rPr>
                <w:rFonts w:ascii="Verdana" w:hAnsi="Verdana"/>
              </w:rPr>
              <w:t xml:space="preserve"> that should be developed as part of a hospital’s admission avoidance strategy.</w:t>
            </w:r>
            <w:r w:rsidR="00816C4A">
              <w:rPr>
                <w:rFonts w:ascii="Verdana" w:hAnsi="Verdana"/>
              </w:rPr>
              <w:t xml:space="preserve"> </w:t>
            </w:r>
            <w:r w:rsidR="008F4272" w:rsidRPr="00B7395D">
              <w:rPr>
                <w:rFonts w:ascii="Verdana" w:hAnsi="Verdana"/>
              </w:rPr>
              <w:t xml:space="preserve">Current </w:t>
            </w:r>
            <w:r w:rsidR="008F4272" w:rsidRPr="00B7395D">
              <w:rPr>
                <w:rFonts w:ascii="Verdana" w:hAnsi="Verdana"/>
              </w:rPr>
              <w:lastRenderedPageBreak/>
              <w:t>national guidance provid</w:t>
            </w:r>
            <w:r w:rsidR="00816C4A">
              <w:rPr>
                <w:rFonts w:ascii="Verdana" w:hAnsi="Verdana"/>
              </w:rPr>
              <w:t>es evidence that effective case-</w:t>
            </w:r>
            <w:r w:rsidR="008F4272" w:rsidRPr="00B7395D">
              <w:rPr>
                <w:rFonts w:ascii="Verdana" w:hAnsi="Verdana"/>
              </w:rPr>
              <w:t xml:space="preserve">finding and </w:t>
            </w:r>
            <w:r w:rsidR="002D4FE0" w:rsidRPr="00B7395D">
              <w:rPr>
                <w:rFonts w:ascii="Verdana" w:hAnsi="Verdana"/>
              </w:rPr>
              <w:t>use of appropriate drug therapies</w:t>
            </w:r>
            <w:r w:rsidR="008F4272" w:rsidRPr="00B7395D">
              <w:rPr>
                <w:rFonts w:ascii="Verdana" w:hAnsi="Verdana"/>
              </w:rPr>
              <w:t xml:space="preserve"> will reduce the risk of future clinical fracture</w:t>
            </w:r>
            <w:r w:rsidR="00E47663">
              <w:rPr>
                <w:rFonts w:ascii="Verdana" w:hAnsi="Verdana"/>
              </w:rPr>
              <w:t>s</w:t>
            </w:r>
            <w:r w:rsidR="008F4272" w:rsidRPr="00B7395D">
              <w:rPr>
                <w:rFonts w:ascii="Verdana" w:hAnsi="Verdana"/>
              </w:rPr>
              <w:t xml:space="preserve"> by up to 50% and </w:t>
            </w:r>
            <w:r w:rsidR="00E47663">
              <w:rPr>
                <w:rFonts w:ascii="Verdana" w:hAnsi="Verdana"/>
              </w:rPr>
              <w:t>this</w:t>
            </w:r>
            <w:r w:rsidR="00E47663" w:rsidRPr="00B7395D">
              <w:rPr>
                <w:rFonts w:ascii="Verdana" w:hAnsi="Verdana"/>
              </w:rPr>
              <w:t xml:space="preserve"> </w:t>
            </w:r>
            <w:r w:rsidR="002A263D" w:rsidRPr="00B7395D">
              <w:rPr>
                <w:rFonts w:ascii="Verdana" w:hAnsi="Verdana"/>
              </w:rPr>
              <w:t>reduction in fracture incidence</w:t>
            </w:r>
            <w:r w:rsidR="008F4272" w:rsidRPr="00B7395D">
              <w:rPr>
                <w:rFonts w:ascii="Verdana" w:hAnsi="Verdana"/>
              </w:rPr>
              <w:t xml:space="preserve"> </w:t>
            </w:r>
            <w:r w:rsidR="00E47663">
              <w:rPr>
                <w:rFonts w:ascii="Verdana" w:hAnsi="Verdana"/>
              </w:rPr>
              <w:t>is</w:t>
            </w:r>
            <w:r w:rsidR="00E47663" w:rsidRPr="00B7395D">
              <w:rPr>
                <w:rFonts w:ascii="Verdana" w:hAnsi="Verdana"/>
              </w:rPr>
              <w:t xml:space="preserve"> </w:t>
            </w:r>
            <w:r w:rsidR="008F4272" w:rsidRPr="00B7395D">
              <w:rPr>
                <w:rFonts w:ascii="Verdana" w:hAnsi="Verdana"/>
              </w:rPr>
              <w:t xml:space="preserve">realised </w:t>
            </w:r>
            <w:r w:rsidR="002D4FE0" w:rsidRPr="00B7395D">
              <w:rPr>
                <w:rFonts w:ascii="Verdana" w:hAnsi="Verdana"/>
              </w:rPr>
              <w:t>quickly and certainly within</w:t>
            </w:r>
            <w:r w:rsidR="008F4272" w:rsidRPr="00B7395D">
              <w:rPr>
                <w:rFonts w:ascii="Verdana" w:hAnsi="Verdana"/>
              </w:rPr>
              <w:t xml:space="preserve"> three years of pharmacotherapy.</w:t>
            </w:r>
          </w:p>
          <w:p w14:paraId="55FCCF13" w14:textId="77777777" w:rsidR="0089238E" w:rsidRDefault="00EA6DF4" w:rsidP="000B2192">
            <w:pPr>
              <w:pStyle w:val="ListParagraph"/>
              <w:spacing w:after="120"/>
              <w:ind w:left="357"/>
              <w:rPr>
                <w:rFonts w:ascii="Verdana" w:hAnsi="Verdana" w:cs="Arial"/>
                <w:color w:val="000000" w:themeColor="text1"/>
                <w:szCs w:val="22"/>
              </w:rPr>
            </w:pPr>
            <w:r>
              <w:rPr>
                <w:rFonts w:ascii="Verdana" w:hAnsi="Verdana" w:cs="Arial"/>
                <w:color w:val="000000" w:themeColor="text1"/>
                <w:sz w:val="22"/>
                <w:szCs w:val="22"/>
              </w:rPr>
              <w:t xml:space="preserve">Several publications provide evidence for the effectiveness of FLSs and recommend </w:t>
            </w:r>
            <w:r w:rsidR="0089238E">
              <w:rPr>
                <w:rFonts w:ascii="Verdana" w:hAnsi="Verdana" w:cs="Arial"/>
                <w:color w:val="000000" w:themeColor="text1"/>
                <w:sz w:val="22"/>
                <w:szCs w:val="22"/>
              </w:rPr>
              <w:t>implementation:</w:t>
            </w:r>
          </w:p>
          <w:p w14:paraId="617A2F13" w14:textId="77777777" w:rsidR="0089238E" w:rsidRPr="00571A5E" w:rsidRDefault="00EA6DF4" w:rsidP="0089238E">
            <w:pPr>
              <w:pStyle w:val="ListParagraph"/>
              <w:numPr>
                <w:ilvl w:val="0"/>
                <w:numId w:val="12"/>
              </w:numPr>
              <w:spacing w:after="120"/>
              <w:rPr>
                <w:rFonts w:ascii="Verdana" w:hAnsi="Verdana" w:cs="Arial"/>
                <w:color w:val="000000" w:themeColor="text1"/>
                <w:szCs w:val="22"/>
              </w:rPr>
            </w:pPr>
            <w:r w:rsidRPr="00571A5E">
              <w:rPr>
                <w:rFonts w:ascii="Verdana" w:hAnsi="Verdana" w:cs="Arial"/>
                <w:color w:val="000000" w:themeColor="text1"/>
                <w:sz w:val="22"/>
                <w:szCs w:val="22"/>
              </w:rPr>
              <w:t>SIGN 142, 2015. Management of Osteoporosis and the prevention of fragility fractures. A national clinical guideline.</w:t>
            </w:r>
            <w:r w:rsidR="0089238E" w:rsidRPr="00571A5E">
              <w:rPr>
                <w:rFonts w:ascii="Verdana" w:hAnsi="Verdana" w:cs="Arial"/>
                <w:color w:val="000000" w:themeColor="text1"/>
                <w:sz w:val="22"/>
                <w:szCs w:val="22"/>
              </w:rPr>
              <w:t xml:space="preserve"> Available at: </w:t>
            </w:r>
            <w:hyperlink r:id="rId10" w:history="1">
              <w:r w:rsidR="0089238E" w:rsidRPr="00571A5E">
                <w:rPr>
                  <w:rStyle w:val="Hyperlink"/>
                  <w:rFonts w:ascii="Verdana" w:eastAsiaTheme="minorEastAsia" w:hAnsi="Verdana" w:cs="Arial"/>
                  <w:sz w:val="22"/>
                  <w:szCs w:val="22"/>
                  <w:lang w:val="en-US" w:eastAsia="ja-JP"/>
                </w:rPr>
                <w:t>http://sign.ac.uk/pdf/SIGN142.pdf</w:t>
              </w:r>
            </w:hyperlink>
          </w:p>
          <w:p w14:paraId="276CE956" w14:textId="77777777" w:rsidR="00EA6DF4" w:rsidRPr="00E677E2" w:rsidRDefault="00EA6DF4" w:rsidP="00EA6DF4">
            <w:pPr>
              <w:pStyle w:val="ListParagraph"/>
              <w:numPr>
                <w:ilvl w:val="0"/>
                <w:numId w:val="12"/>
              </w:numPr>
              <w:spacing w:after="120"/>
              <w:rPr>
                <w:rFonts w:ascii="Verdana" w:hAnsi="Verdana" w:cs="Arial"/>
                <w:color w:val="000000" w:themeColor="text1"/>
                <w:szCs w:val="22"/>
              </w:rPr>
            </w:pPr>
            <w:r w:rsidRPr="00B7395D">
              <w:rPr>
                <w:rFonts w:ascii="Verdana" w:hAnsi="Verdana" w:cs="Arial"/>
                <w:color w:val="000000" w:themeColor="text1"/>
                <w:sz w:val="22"/>
                <w:szCs w:val="22"/>
              </w:rPr>
              <w:t>National Osteoporosis Society, 2012. Breaking Through: Building Better Falls and Fracture Services in England</w:t>
            </w:r>
            <w:r>
              <w:rPr>
                <w:rFonts w:ascii="Verdana" w:hAnsi="Verdana" w:cs="Arial"/>
                <w:color w:val="000000" w:themeColor="text1"/>
                <w:sz w:val="22"/>
                <w:szCs w:val="22"/>
              </w:rPr>
              <w:t xml:space="preserve">. </w:t>
            </w:r>
            <w:r w:rsidRPr="00B7395D">
              <w:rPr>
                <w:rFonts w:ascii="Verdana" w:hAnsi="Verdana" w:cs="Arial"/>
                <w:color w:val="000000" w:themeColor="text1"/>
                <w:sz w:val="22"/>
                <w:szCs w:val="22"/>
              </w:rPr>
              <w:t xml:space="preserve">London: </w:t>
            </w:r>
            <w:r>
              <w:rPr>
                <w:rFonts w:ascii="Verdana" w:hAnsi="Verdana" w:cs="Arial"/>
                <w:color w:val="000000" w:themeColor="text1"/>
                <w:sz w:val="22"/>
                <w:szCs w:val="22"/>
              </w:rPr>
              <w:t xml:space="preserve">National Osteoporosis Society. </w:t>
            </w:r>
            <w:r w:rsidRPr="00B7395D">
              <w:rPr>
                <w:rFonts w:ascii="Verdana" w:hAnsi="Verdana" w:cs="Arial"/>
                <w:color w:val="000000" w:themeColor="text1"/>
                <w:sz w:val="22"/>
                <w:szCs w:val="22"/>
              </w:rPr>
              <w:t xml:space="preserve">Available at: </w:t>
            </w:r>
            <w:hyperlink r:id="rId11" w:history="1">
              <w:r w:rsidRPr="00B7395D">
                <w:rPr>
                  <w:rStyle w:val="Hyperlink"/>
                  <w:rFonts w:ascii="Verdana" w:hAnsi="Verdana" w:cs="Arial"/>
                  <w:sz w:val="22"/>
                  <w:szCs w:val="22"/>
                </w:rPr>
                <w:t>http://www.nos.org.uk/document.doc?id=987</w:t>
              </w:r>
            </w:hyperlink>
            <w:r w:rsidRPr="00B7395D">
              <w:rPr>
                <w:rFonts w:ascii="Verdana" w:hAnsi="Verdana" w:cs="Arial"/>
                <w:color w:val="000000" w:themeColor="text1"/>
                <w:sz w:val="22"/>
                <w:szCs w:val="22"/>
              </w:rPr>
              <w:t xml:space="preserve"> </w:t>
            </w:r>
          </w:p>
          <w:p w14:paraId="18403E45" w14:textId="77777777" w:rsidR="0089238E" w:rsidRDefault="00E677E2" w:rsidP="00E677E2">
            <w:pPr>
              <w:pStyle w:val="ListParagraph"/>
              <w:numPr>
                <w:ilvl w:val="0"/>
                <w:numId w:val="12"/>
              </w:numPr>
              <w:rPr>
                <w:rFonts w:ascii="Verdana" w:hAnsi="Verdana" w:cs="Arial"/>
                <w:color w:val="000000" w:themeColor="text1"/>
                <w:szCs w:val="22"/>
              </w:rPr>
            </w:pPr>
            <w:r>
              <w:rPr>
                <w:rFonts w:ascii="Verdana" w:hAnsi="Verdana" w:cs="Arial"/>
                <w:color w:val="000000" w:themeColor="text1"/>
                <w:szCs w:val="22"/>
              </w:rPr>
              <w:t>All Wales Osteoporosis Advisory Group,</w:t>
            </w:r>
            <w:r w:rsidR="0089238E" w:rsidRPr="00E677E2">
              <w:rPr>
                <w:rFonts w:ascii="Verdana" w:hAnsi="Verdana" w:cs="Arial"/>
                <w:color w:val="000000" w:themeColor="text1"/>
                <w:szCs w:val="22"/>
              </w:rPr>
              <w:t xml:space="preserve"> 2012. All Wales Audit of Secondary Prevention of Osteoporotic Fractures 2012. </w:t>
            </w:r>
            <w:r>
              <w:rPr>
                <w:rFonts w:ascii="Verdana" w:hAnsi="Verdana" w:cs="Arial"/>
                <w:color w:val="000000" w:themeColor="text1"/>
                <w:szCs w:val="22"/>
              </w:rPr>
              <w:t>Available at:</w:t>
            </w:r>
          </w:p>
          <w:p w14:paraId="763FD391" w14:textId="4382C6DB" w:rsidR="008E637D" w:rsidRDefault="0065043F" w:rsidP="008E637D">
            <w:pPr>
              <w:pStyle w:val="ListParagraph"/>
              <w:spacing w:after="120"/>
              <w:rPr>
                <w:rFonts w:ascii="Verdana" w:hAnsi="Verdana" w:cs="Arial"/>
                <w:color w:val="000000" w:themeColor="text1"/>
                <w:szCs w:val="22"/>
              </w:rPr>
            </w:pPr>
            <w:hyperlink r:id="rId12" w:history="1">
              <w:r w:rsidR="008E637D" w:rsidRPr="001D71B7">
                <w:rPr>
                  <w:rStyle w:val="Hyperlink"/>
                  <w:rFonts w:ascii="Verdana" w:hAnsi="Verdana" w:cs="Arial"/>
                  <w:szCs w:val="22"/>
                </w:rPr>
                <w:t>https://www.nos.org.uk/document.doc?id=1285</w:t>
              </w:r>
            </w:hyperlink>
          </w:p>
          <w:p w14:paraId="17FC58A1" w14:textId="09A44602" w:rsidR="00E704E1" w:rsidRPr="00B7395D" w:rsidRDefault="0087684C" w:rsidP="008E637D">
            <w:pPr>
              <w:pStyle w:val="ListParagraph"/>
              <w:spacing w:after="120"/>
              <w:rPr>
                <w:rFonts w:ascii="Verdana" w:hAnsi="Verdana" w:cs="Arial"/>
                <w:color w:val="000000" w:themeColor="text1"/>
                <w:szCs w:val="22"/>
              </w:rPr>
            </w:pPr>
            <w:r w:rsidRPr="00B7395D">
              <w:rPr>
                <w:rFonts w:ascii="Verdana" w:hAnsi="Verdana" w:cs="Arial"/>
                <w:color w:val="000000" w:themeColor="text1"/>
                <w:sz w:val="22"/>
                <w:szCs w:val="22"/>
              </w:rPr>
              <w:t>Department of Health</w:t>
            </w:r>
            <w:r w:rsidR="00AC657F" w:rsidRPr="00B7395D">
              <w:rPr>
                <w:rFonts w:ascii="Verdana" w:hAnsi="Verdana" w:cs="Arial"/>
                <w:color w:val="000000" w:themeColor="text1"/>
                <w:sz w:val="22"/>
                <w:szCs w:val="22"/>
              </w:rPr>
              <w:t>,</w:t>
            </w:r>
            <w:r w:rsidRPr="00B7395D">
              <w:rPr>
                <w:rFonts w:ascii="Verdana" w:hAnsi="Verdana" w:cs="Arial"/>
                <w:color w:val="000000" w:themeColor="text1"/>
                <w:sz w:val="22"/>
                <w:szCs w:val="22"/>
              </w:rPr>
              <w:t xml:space="preserve"> 2009</w:t>
            </w:r>
            <w:r w:rsidR="00AC657F" w:rsidRPr="00B7395D">
              <w:rPr>
                <w:rFonts w:ascii="Verdana" w:hAnsi="Verdana" w:cs="Arial"/>
                <w:color w:val="000000" w:themeColor="text1"/>
                <w:sz w:val="22"/>
                <w:szCs w:val="22"/>
              </w:rPr>
              <w:t>.</w:t>
            </w:r>
            <w:r w:rsidRPr="00B7395D">
              <w:rPr>
                <w:rFonts w:ascii="Verdana" w:hAnsi="Verdana" w:cs="Arial"/>
                <w:color w:val="000000" w:themeColor="text1"/>
                <w:sz w:val="22"/>
                <w:szCs w:val="22"/>
              </w:rPr>
              <w:t xml:space="preserve"> Falls and </w:t>
            </w:r>
            <w:r w:rsidR="008F3DED" w:rsidRPr="00B7395D">
              <w:rPr>
                <w:rFonts w:ascii="Verdana" w:hAnsi="Verdana" w:cs="Arial"/>
                <w:color w:val="000000" w:themeColor="text1"/>
                <w:sz w:val="22"/>
                <w:szCs w:val="22"/>
              </w:rPr>
              <w:t>F</w:t>
            </w:r>
            <w:r w:rsidRPr="00B7395D">
              <w:rPr>
                <w:rFonts w:ascii="Verdana" w:hAnsi="Verdana" w:cs="Arial"/>
                <w:color w:val="000000" w:themeColor="text1"/>
                <w:sz w:val="22"/>
                <w:szCs w:val="22"/>
              </w:rPr>
              <w:t>ractures</w:t>
            </w:r>
            <w:r w:rsidR="008F3DED" w:rsidRPr="00B7395D">
              <w:rPr>
                <w:rFonts w:ascii="Verdana" w:hAnsi="Verdana" w:cs="Arial"/>
                <w:color w:val="000000" w:themeColor="text1"/>
                <w:sz w:val="22"/>
                <w:szCs w:val="22"/>
              </w:rPr>
              <w:t>: E</w:t>
            </w:r>
            <w:r w:rsidRPr="00B7395D">
              <w:rPr>
                <w:rFonts w:ascii="Verdana" w:hAnsi="Verdana" w:cs="Arial"/>
                <w:color w:val="000000" w:themeColor="text1"/>
                <w:sz w:val="22"/>
                <w:szCs w:val="22"/>
              </w:rPr>
              <w:t>ffective interventions in health and social care</w:t>
            </w:r>
            <w:r w:rsidR="008F3DED" w:rsidRPr="00B7395D">
              <w:rPr>
                <w:rFonts w:ascii="Verdana" w:hAnsi="Verdana" w:cs="Arial"/>
                <w:color w:val="000000" w:themeColor="text1"/>
                <w:sz w:val="22"/>
                <w:szCs w:val="22"/>
              </w:rPr>
              <w:t xml:space="preserve">. </w:t>
            </w:r>
            <w:r w:rsidR="00816C4A">
              <w:rPr>
                <w:rFonts w:ascii="Verdana" w:hAnsi="Verdana" w:cs="Arial"/>
                <w:color w:val="000000" w:themeColor="text1"/>
                <w:sz w:val="22"/>
                <w:szCs w:val="22"/>
              </w:rPr>
              <w:t xml:space="preserve">London: </w:t>
            </w:r>
            <w:r w:rsidR="008F3DED" w:rsidRPr="00B7395D">
              <w:rPr>
                <w:rFonts w:ascii="Verdana" w:hAnsi="Verdana" w:cs="Arial"/>
                <w:color w:val="000000" w:themeColor="text1"/>
                <w:sz w:val="22"/>
                <w:szCs w:val="22"/>
              </w:rPr>
              <w:t xml:space="preserve">Department of Health. </w:t>
            </w:r>
            <w:r w:rsidR="00C94AEF" w:rsidRPr="00B7395D">
              <w:rPr>
                <w:rFonts w:ascii="Verdana" w:hAnsi="Verdana" w:cs="Arial"/>
                <w:color w:val="000000" w:themeColor="text1"/>
                <w:sz w:val="22"/>
                <w:szCs w:val="22"/>
              </w:rPr>
              <w:t xml:space="preserve"> </w:t>
            </w:r>
            <w:r w:rsidR="008F3DED" w:rsidRPr="00B7395D">
              <w:rPr>
                <w:rFonts w:ascii="Verdana" w:hAnsi="Verdana" w:cs="Arial"/>
                <w:color w:val="000000" w:themeColor="text1"/>
                <w:sz w:val="22"/>
                <w:szCs w:val="22"/>
              </w:rPr>
              <w:t xml:space="preserve">Available at: </w:t>
            </w:r>
            <w:hyperlink r:id="rId13" w:history="1">
              <w:r w:rsidR="008F3DED" w:rsidRPr="00B7395D">
                <w:rPr>
                  <w:rStyle w:val="Hyperlink"/>
                  <w:rFonts w:ascii="Verdana" w:hAnsi="Verdana" w:cs="Arial"/>
                  <w:sz w:val="22"/>
                  <w:szCs w:val="22"/>
                </w:rPr>
                <w:t>http://webarchive.nationalarchives.gov.uk/20130107105354/http://www.dh.gov.uk/prod_consum_dh/groups/dh_digitalassets/@dh/@en/@pg/documents/digitalasset/dh_109122.pdf</w:t>
              </w:r>
            </w:hyperlink>
            <w:r w:rsidR="008F3DED" w:rsidRPr="00B7395D">
              <w:rPr>
                <w:rFonts w:ascii="Verdana" w:hAnsi="Verdana" w:cs="Arial"/>
                <w:color w:val="000000" w:themeColor="text1"/>
                <w:sz w:val="22"/>
                <w:szCs w:val="22"/>
              </w:rPr>
              <w:t xml:space="preserve"> </w:t>
            </w:r>
          </w:p>
          <w:p w14:paraId="46E0CD2A" w14:textId="77777777" w:rsidR="00E704E1" w:rsidRPr="00B7395D" w:rsidRDefault="00BC3282" w:rsidP="00EA6DF4">
            <w:pPr>
              <w:pStyle w:val="ListParagraph"/>
              <w:numPr>
                <w:ilvl w:val="0"/>
                <w:numId w:val="12"/>
              </w:numPr>
              <w:spacing w:after="120"/>
              <w:rPr>
                <w:rFonts w:ascii="Verdana" w:hAnsi="Verdana" w:cs="Arial"/>
                <w:color w:val="000000" w:themeColor="text1"/>
                <w:szCs w:val="22"/>
              </w:rPr>
            </w:pPr>
            <w:r w:rsidRPr="00B7395D">
              <w:rPr>
                <w:rFonts w:ascii="Verdana" w:hAnsi="Verdana" w:cs="Arial"/>
                <w:color w:val="000000" w:themeColor="text1"/>
                <w:sz w:val="22"/>
                <w:szCs w:val="22"/>
              </w:rPr>
              <w:t>Department of Health</w:t>
            </w:r>
            <w:r w:rsidR="00C94AEF" w:rsidRPr="00B7395D">
              <w:rPr>
                <w:rFonts w:ascii="Verdana" w:hAnsi="Verdana" w:cs="Arial"/>
                <w:color w:val="000000" w:themeColor="text1"/>
                <w:sz w:val="22"/>
                <w:szCs w:val="22"/>
              </w:rPr>
              <w:t>,</w:t>
            </w:r>
            <w:r w:rsidRPr="00B7395D">
              <w:rPr>
                <w:rFonts w:ascii="Verdana" w:hAnsi="Verdana" w:cs="Arial"/>
                <w:color w:val="000000" w:themeColor="text1"/>
                <w:sz w:val="22"/>
                <w:szCs w:val="22"/>
              </w:rPr>
              <w:t xml:space="preserve"> 2009</w:t>
            </w:r>
            <w:r w:rsidR="00C94AEF" w:rsidRPr="00B7395D">
              <w:rPr>
                <w:rFonts w:ascii="Verdana" w:hAnsi="Verdana" w:cs="Arial"/>
                <w:color w:val="000000" w:themeColor="text1"/>
                <w:sz w:val="22"/>
                <w:szCs w:val="22"/>
              </w:rPr>
              <w:t xml:space="preserve">. </w:t>
            </w:r>
            <w:r w:rsidRPr="00B7395D">
              <w:rPr>
                <w:rFonts w:ascii="Verdana" w:hAnsi="Verdana" w:cs="Arial"/>
                <w:color w:val="000000" w:themeColor="text1"/>
                <w:sz w:val="22"/>
                <w:szCs w:val="22"/>
              </w:rPr>
              <w:t xml:space="preserve">Fracture Prevention </w:t>
            </w:r>
            <w:r w:rsidR="00C94AEF" w:rsidRPr="00B7395D">
              <w:rPr>
                <w:rFonts w:ascii="Verdana" w:hAnsi="Verdana" w:cs="Arial"/>
                <w:color w:val="000000" w:themeColor="text1"/>
                <w:sz w:val="22"/>
                <w:szCs w:val="22"/>
              </w:rPr>
              <w:t>S</w:t>
            </w:r>
            <w:r w:rsidRPr="00B7395D">
              <w:rPr>
                <w:rFonts w:ascii="Verdana" w:hAnsi="Verdana" w:cs="Arial"/>
                <w:color w:val="000000" w:themeColor="text1"/>
                <w:sz w:val="22"/>
                <w:szCs w:val="22"/>
              </w:rPr>
              <w:t>ervices</w:t>
            </w:r>
            <w:r w:rsidR="00C94AEF" w:rsidRPr="00B7395D">
              <w:rPr>
                <w:rFonts w:ascii="Verdana" w:hAnsi="Verdana" w:cs="Arial"/>
                <w:color w:val="000000" w:themeColor="text1"/>
                <w:sz w:val="22"/>
                <w:szCs w:val="22"/>
              </w:rPr>
              <w:t>:</w:t>
            </w:r>
            <w:r w:rsidRPr="00B7395D">
              <w:rPr>
                <w:rFonts w:ascii="Verdana" w:hAnsi="Verdana" w:cs="Arial"/>
                <w:color w:val="000000" w:themeColor="text1"/>
                <w:sz w:val="22"/>
                <w:szCs w:val="22"/>
              </w:rPr>
              <w:t xml:space="preserve"> An </w:t>
            </w:r>
            <w:r w:rsidR="00ED0425" w:rsidRPr="00B7395D">
              <w:rPr>
                <w:rFonts w:ascii="Verdana" w:hAnsi="Verdana" w:cs="Arial"/>
                <w:color w:val="000000" w:themeColor="text1"/>
                <w:sz w:val="22"/>
                <w:szCs w:val="22"/>
              </w:rPr>
              <w:t>economic evaluation</w:t>
            </w:r>
            <w:r w:rsidR="00C94AEF" w:rsidRPr="00B7395D">
              <w:rPr>
                <w:rFonts w:ascii="Verdana" w:hAnsi="Verdana" w:cs="Arial"/>
                <w:color w:val="000000" w:themeColor="text1"/>
                <w:sz w:val="22"/>
                <w:szCs w:val="22"/>
              </w:rPr>
              <w:t>.</w:t>
            </w:r>
            <w:r w:rsidR="00816C4A">
              <w:rPr>
                <w:rFonts w:ascii="Verdana" w:hAnsi="Verdana" w:cs="Arial"/>
                <w:color w:val="000000" w:themeColor="text1"/>
                <w:sz w:val="22"/>
                <w:szCs w:val="22"/>
              </w:rPr>
              <w:t xml:space="preserve"> London: Department of Health. </w:t>
            </w:r>
            <w:r w:rsidR="00C94AEF" w:rsidRPr="00B7395D">
              <w:rPr>
                <w:rFonts w:ascii="Verdana" w:hAnsi="Verdana" w:cs="Arial"/>
                <w:color w:val="000000" w:themeColor="text1"/>
                <w:sz w:val="22"/>
                <w:szCs w:val="22"/>
              </w:rPr>
              <w:t xml:space="preserve">Available at: </w:t>
            </w:r>
            <w:hyperlink r:id="rId14" w:history="1">
              <w:r w:rsidR="00C94AEF" w:rsidRPr="00B7395D">
                <w:rPr>
                  <w:rStyle w:val="Hyperlink"/>
                  <w:rFonts w:ascii="Verdana" w:hAnsi="Verdana" w:cs="Arial"/>
                  <w:sz w:val="22"/>
                  <w:szCs w:val="22"/>
                </w:rPr>
                <w:t>http://webarchive.nationalarchives.gov.uk/20130107105354/http://www.dh.gov.uk/prod_consum_dh/groups/dh_digitalassets/documents/digitalasset/dh_110099.pdf</w:t>
              </w:r>
            </w:hyperlink>
            <w:r w:rsidR="00C94AEF" w:rsidRPr="00B7395D">
              <w:rPr>
                <w:rFonts w:ascii="Verdana" w:hAnsi="Verdana" w:cs="Arial"/>
                <w:color w:val="000000" w:themeColor="text1"/>
                <w:sz w:val="22"/>
                <w:szCs w:val="22"/>
              </w:rPr>
              <w:t xml:space="preserve"> </w:t>
            </w:r>
          </w:p>
          <w:p w14:paraId="392B9255" w14:textId="77777777" w:rsidR="00E704E1" w:rsidRPr="00B7395D" w:rsidRDefault="0087684C" w:rsidP="00EA6DF4">
            <w:pPr>
              <w:pStyle w:val="ListParagraph"/>
              <w:numPr>
                <w:ilvl w:val="0"/>
                <w:numId w:val="12"/>
              </w:numPr>
              <w:spacing w:after="120"/>
              <w:rPr>
                <w:rFonts w:ascii="Verdana" w:hAnsi="Verdana" w:cs="Arial"/>
                <w:color w:val="000000" w:themeColor="text1"/>
                <w:szCs w:val="22"/>
              </w:rPr>
            </w:pPr>
            <w:r w:rsidRPr="00B7395D">
              <w:rPr>
                <w:rFonts w:ascii="Verdana" w:hAnsi="Verdana" w:cs="Arial"/>
                <w:color w:val="000000" w:themeColor="text1"/>
                <w:sz w:val="22"/>
                <w:szCs w:val="22"/>
              </w:rPr>
              <w:t>British Orthopaedic Association</w:t>
            </w:r>
            <w:r w:rsidR="00C94AEF" w:rsidRPr="00B7395D">
              <w:rPr>
                <w:rFonts w:ascii="Verdana" w:hAnsi="Verdana" w:cs="Arial"/>
                <w:color w:val="000000" w:themeColor="text1"/>
                <w:sz w:val="22"/>
                <w:szCs w:val="22"/>
              </w:rPr>
              <w:t>,</w:t>
            </w:r>
            <w:r w:rsidRPr="00B7395D">
              <w:rPr>
                <w:rFonts w:ascii="Verdana" w:hAnsi="Verdana" w:cs="Arial"/>
                <w:color w:val="000000" w:themeColor="text1"/>
                <w:sz w:val="22"/>
                <w:szCs w:val="22"/>
              </w:rPr>
              <w:t xml:space="preserve"> 2007</w:t>
            </w:r>
            <w:r w:rsidR="00C94AEF" w:rsidRPr="00B7395D">
              <w:rPr>
                <w:rFonts w:ascii="Verdana" w:hAnsi="Verdana" w:cs="Arial"/>
                <w:color w:val="000000" w:themeColor="text1"/>
                <w:sz w:val="22"/>
                <w:szCs w:val="22"/>
              </w:rPr>
              <w:t xml:space="preserve">. </w:t>
            </w:r>
            <w:r w:rsidRPr="00B7395D">
              <w:rPr>
                <w:rFonts w:ascii="Verdana" w:hAnsi="Verdana" w:cs="Arial"/>
                <w:color w:val="000000" w:themeColor="text1"/>
                <w:sz w:val="22"/>
                <w:szCs w:val="22"/>
              </w:rPr>
              <w:t>The</w:t>
            </w:r>
            <w:r w:rsidR="00C94AEF" w:rsidRPr="00B7395D">
              <w:rPr>
                <w:rFonts w:ascii="Verdana" w:hAnsi="Verdana" w:cs="Arial"/>
                <w:color w:val="000000" w:themeColor="text1"/>
                <w:sz w:val="22"/>
                <w:szCs w:val="22"/>
              </w:rPr>
              <w:t xml:space="preserve"> Blue Book: The</w:t>
            </w:r>
            <w:r w:rsidRPr="00B7395D">
              <w:rPr>
                <w:rFonts w:ascii="Verdana" w:hAnsi="Verdana" w:cs="Arial"/>
                <w:color w:val="000000" w:themeColor="text1"/>
                <w:sz w:val="22"/>
                <w:szCs w:val="22"/>
              </w:rPr>
              <w:t xml:space="preserve"> </w:t>
            </w:r>
            <w:r w:rsidR="001A78F3" w:rsidRPr="00B7395D">
              <w:rPr>
                <w:rFonts w:ascii="Verdana" w:hAnsi="Verdana" w:cs="Arial"/>
                <w:color w:val="000000" w:themeColor="text1"/>
                <w:sz w:val="22"/>
                <w:szCs w:val="22"/>
              </w:rPr>
              <w:t>C</w:t>
            </w:r>
            <w:r w:rsidRPr="00B7395D">
              <w:rPr>
                <w:rFonts w:ascii="Verdana" w:hAnsi="Verdana" w:cs="Arial"/>
                <w:color w:val="000000" w:themeColor="text1"/>
                <w:sz w:val="22"/>
                <w:szCs w:val="22"/>
              </w:rPr>
              <w:t xml:space="preserve">are of </w:t>
            </w:r>
            <w:r w:rsidR="001A78F3" w:rsidRPr="00B7395D">
              <w:rPr>
                <w:rFonts w:ascii="Verdana" w:hAnsi="Verdana" w:cs="Arial"/>
                <w:color w:val="000000" w:themeColor="text1"/>
                <w:sz w:val="22"/>
                <w:szCs w:val="22"/>
              </w:rPr>
              <w:t>P</w:t>
            </w:r>
            <w:r w:rsidRPr="00B7395D">
              <w:rPr>
                <w:rFonts w:ascii="Verdana" w:hAnsi="Verdana" w:cs="Arial"/>
                <w:color w:val="000000" w:themeColor="text1"/>
                <w:sz w:val="22"/>
                <w:szCs w:val="22"/>
              </w:rPr>
              <w:t xml:space="preserve">atients with </w:t>
            </w:r>
            <w:r w:rsidR="001A78F3" w:rsidRPr="00B7395D">
              <w:rPr>
                <w:rFonts w:ascii="Verdana" w:hAnsi="Verdana" w:cs="Arial"/>
                <w:color w:val="000000" w:themeColor="text1"/>
                <w:sz w:val="22"/>
                <w:szCs w:val="22"/>
              </w:rPr>
              <w:t>F</w:t>
            </w:r>
            <w:r w:rsidRPr="00B7395D">
              <w:rPr>
                <w:rFonts w:ascii="Verdana" w:hAnsi="Verdana" w:cs="Arial"/>
                <w:color w:val="000000" w:themeColor="text1"/>
                <w:sz w:val="22"/>
                <w:szCs w:val="22"/>
              </w:rPr>
              <w:t xml:space="preserve">ragility </w:t>
            </w:r>
            <w:r w:rsidR="001A78F3" w:rsidRPr="00B7395D">
              <w:rPr>
                <w:rFonts w:ascii="Verdana" w:hAnsi="Verdana" w:cs="Arial"/>
                <w:color w:val="000000" w:themeColor="text1"/>
                <w:sz w:val="22"/>
                <w:szCs w:val="22"/>
              </w:rPr>
              <w:t>F</w:t>
            </w:r>
            <w:r w:rsidRPr="00B7395D">
              <w:rPr>
                <w:rFonts w:ascii="Verdana" w:hAnsi="Verdana" w:cs="Arial"/>
                <w:color w:val="000000" w:themeColor="text1"/>
                <w:sz w:val="22"/>
                <w:szCs w:val="22"/>
              </w:rPr>
              <w:t>ractures</w:t>
            </w:r>
            <w:r w:rsidR="00C94AEF" w:rsidRPr="00B7395D">
              <w:rPr>
                <w:rFonts w:ascii="Verdana" w:hAnsi="Verdana" w:cs="Arial"/>
                <w:color w:val="000000" w:themeColor="text1"/>
                <w:sz w:val="22"/>
                <w:szCs w:val="22"/>
              </w:rPr>
              <w:t>.</w:t>
            </w:r>
            <w:r w:rsidR="00816C4A">
              <w:rPr>
                <w:rFonts w:ascii="Verdana" w:hAnsi="Verdana" w:cs="Arial"/>
                <w:color w:val="000000" w:themeColor="text1"/>
                <w:sz w:val="22"/>
                <w:szCs w:val="22"/>
              </w:rPr>
              <w:t xml:space="preserve"> </w:t>
            </w:r>
            <w:r w:rsidR="00C94AEF" w:rsidRPr="00B7395D">
              <w:rPr>
                <w:rFonts w:ascii="Verdana" w:hAnsi="Verdana" w:cs="Arial"/>
                <w:color w:val="000000" w:themeColor="text1"/>
                <w:sz w:val="22"/>
                <w:szCs w:val="22"/>
              </w:rPr>
              <w:t xml:space="preserve">London: British </w:t>
            </w:r>
            <w:r w:rsidR="00443B52" w:rsidRPr="00B7395D">
              <w:rPr>
                <w:rFonts w:ascii="Verdana" w:hAnsi="Verdana" w:cs="Arial"/>
                <w:color w:val="000000" w:themeColor="text1"/>
                <w:sz w:val="22"/>
                <w:szCs w:val="22"/>
              </w:rPr>
              <w:t>O</w:t>
            </w:r>
            <w:r w:rsidR="00816C4A">
              <w:rPr>
                <w:rFonts w:ascii="Verdana" w:hAnsi="Verdana" w:cs="Arial"/>
                <w:color w:val="000000" w:themeColor="text1"/>
                <w:sz w:val="22"/>
                <w:szCs w:val="22"/>
              </w:rPr>
              <w:t xml:space="preserve">rthopaedic Association. </w:t>
            </w:r>
            <w:r w:rsidR="00C94AEF" w:rsidRPr="00B7395D">
              <w:rPr>
                <w:rFonts w:ascii="Verdana" w:hAnsi="Verdana" w:cs="Arial"/>
                <w:color w:val="000000" w:themeColor="text1"/>
                <w:sz w:val="22"/>
                <w:szCs w:val="22"/>
              </w:rPr>
              <w:t xml:space="preserve">Available at: </w:t>
            </w:r>
            <w:hyperlink r:id="rId15" w:history="1">
              <w:r w:rsidR="00C94AEF" w:rsidRPr="00B7395D">
                <w:rPr>
                  <w:rStyle w:val="Hyperlink"/>
                  <w:rFonts w:ascii="Verdana" w:hAnsi="Verdana" w:cs="Arial"/>
                  <w:sz w:val="22"/>
                  <w:szCs w:val="22"/>
                </w:rPr>
                <w:t>http://www.fractures.com/pdf/BOA-BGS-Blue-Book.pdf</w:t>
              </w:r>
            </w:hyperlink>
            <w:r w:rsidR="00C94AEF" w:rsidRPr="00B7395D">
              <w:rPr>
                <w:rFonts w:ascii="Verdana" w:hAnsi="Verdana" w:cs="Arial"/>
                <w:color w:val="000000" w:themeColor="text1"/>
                <w:sz w:val="22"/>
                <w:szCs w:val="22"/>
              </w:rPr>
              <w:t xml:space="preserve"> </w:t>
            </w:r>
          </w:p>
          <w:p w14:paraId="5799AB0F" w14:textId="77777777" w:rsidR="00E704E1" w:rsidRPr="00B7395D" w:rsidRDefault="005C283C" w:rsidP="00EA6DF4">
            <w:pPr>
              <w:pStyle w:val="ListParagraph"/>
              <w:numPr>
                <w:ilvl w:val="0"/>
                <w:numId w:val="12"/>
              </w:numPr>
              <w:spacing w:after="120"/>
              <w:rPr>
                <w:rFonts w:ascii="Verdana" w:hAnsi="Verdana" w:cs="Arial"/>
                <w:color w:val="000000" w:themeColor="text1"/>
                <w:szCs w:val="22"/>
              </w:rPr>
            </w:pPr>
            <w:r w:rsidRPr="00B7395D">
              <w:rPr>
                <w:rFonts w:ascii="Verdana" w:hAnsi="Verdana" w:cs="Arial"/>
                <w:color w:val="000000" w:themeColor="text1"/>
                <w:sz w:val="22"/>
                <w:szCs w:val="22"/>
              </w:rPr>
              <w:t>Royal College of Physicians</w:t>
            </w:r>
            <w:r w:rsidR="001A78F3" w:rsidRPr="00B7395D">
              <w:rPr>
                <w:rFonts w:ascii="Verdana" w:hAnsi="Verdana" w:cs="Arial"/>
                <w:color w:val="000000" w:themeColor="text1"/>
                <w:sz w:val="22"/>
                <w:szCs w:val="22"/>
              </w:rPr>
              <w:t>,</w:t>
            </w:r>
            <w:r w:rsidRPr="00B7395D">
              <w:rPr>
                <w:rFonts w:ascii="Verdana" w:hAnsi="Verdana" w:cs="Arial"/>
                <w:color w:val="000000" w:themeColor="text1"/>
                <w:sz w:val="22"/>
                <w:szCs w:val="22"/>
              </w:rPr>
              <w:t xml:space="preserve"> 200</w:t>
            </w:r>
            <w:r w:rsidR="001A78F3" w:rsidRPr="00B7395D">
              <w:rPr>
                <w:rFonts w:ascii="Verdana" w:hAnsi="Verdana" w:cs="Arial"/>
                <w:color w:val="000000" w:themeColor="text1"/>
                <w:sz w:val="22"/>
                <w:szCs w:val="22"/>
              </w:rPr>
              <w:t>7.</w:t>
            </w:r>
            <w:r w:rsidR="00816C4A">
              <w:rPr>
                <w:rFonts w:ascii="Verdana" w:hAnsi="Verdana" w:cs="Arial"/>
                <w:color w:val="000000" w:themeColor="text1"/>
                <w:sz w:val="22"/>
                <w:szCs w:val="22"/>
              </w:rPr>
              <w:t xml:space="preserve"> </w:t>
            </w:r>
            <w:r w:rsidR="001A78F3" w:rsidRPr="00B7395D">
              <w:rPr>
                <w:rFonts w:ascii="Verdana" w:hAnsi="Verdana" w:cs="Arial"/>
                <w:color w:val="000000" w:themeColor="text1"/>
                <w:sz w:val="22"/>
                <w:szCs w:val="22"/>
              </w:rPr>
              <w:t xml:space="preserve">National </w:t>
            </w:r>
            <w:r w:rsidRPr="00B7395D">
              <w:rPr>
                <w:rFonts w:ascii="Verdana" w:hAnsi="Verdana" w:cs="Arial"/>
                <w:color w:val="000000" w:themeColor="text1"/>
                <w:sz w:val="22"/>
                <w:szCs w:val="22"/>
              </w:rPr>
              <w:t xml:space="preserve">Clinical </w:t>
            </w:r>
            <w:r w:rsidR="001A78F3" w:rsidRPr="00B7395D">
              <w:rPr>
                <w:rFonts w:ascii="Verdana" w:hAnsi="Verdana" w:cs="Arial"/>
                <w:color w:val="000000" w:themeColor="text1"/>
                <w:sz w:val="22"/>
                <w:szCs w:val="22"/>
              </w:rPr>
              <w:t>A</w:t>
            </w:r>
            <w:r w:rsidRPr="00B7395D">
              <w:rPr>
                <w:rFonts w:ascii="Verdana" w:hAnsi="Verdana" w:cs="Arial"/>
                <w:color w:val="000000" w:themeColor="text1"/>
                <w:sz w:val="22"/>
                <w:szCs w:val="22"/>
              </w:rPr>
              <w:t xml:space="preserve">udit of </w:t>
            </w:r>
            <w:r w:rsidR="001A78F3" w:rsidRPr="00B7395D">
              <w:rPr>
                <w:rFonts w:ascii="Verdana" w:hAnsi="Verdana" w:cs="Arial"/>
                <w:color w:val="000000" w:themeColor="text1"/>
                <w:sz w:val="22"/>
                <w:szCs w:val="22"/>
              </w:rPr>
              <w:t>F</w:t>
            </w:r>
            <w:r w:rsidRPr="00B7395D">
              <w:rPr>
                <w:rFonts w:ascii="Verdana" w:hAnsi="Verdana" w:cs="Arial"/>
                <w:color w:val="000000" w:themeColor="text1"/>
                <w:sz w:val="22"/>
                <w:szCs w:val="22"/>
              </w:rPr>
              <w:t xml:space="preserve">alls and </w:t>
            </w:r>
            <w:r w:rsidR="001A78F3" w:rsidRPr="00B7395D">
              <w:rPr>
                <w:rFonts w:ascii="Verdana" w:hAnsi="Verdana" w:cs="Arial"/>
                <w:color w:val="000000" w:themeColor="text1"/>
                <w:sz w:val="22"/>
                <w:szCs w:val="22"/>
              </w:rPr>
              <w:t>B</w:t>
            </w:r>
            <w:r w:rsidRPr="00B7395D">
              <w:rPr>
                <w:rFonts w:ascii="Verdana" w:hAnsi="Verdana" w:cs="Arial"/>
                <w:color w:val="000000" w:themeColor="text1"/>
                <w:sz w:val="22"/>
                <w:szCs w:val="22"/>
              </w:rPr>
              <w:t xml:space="preserve">one </w:t>
            </w:r>
            <w:r w:rsidR="001A78F3" w:rsidRPr="00B7395D">
              <w:rPr>
                <w:rFonts w:ascii="Verdana" w:hAnsi="Verdana" w:cs="Arial"/>
                <w:color w:val="000000" w:themeColor="text1"/>
                <w:sz w:val="22"/>
                <w:szCs w:val="22"/>
              </w:rPr>
              <w:t>H</w:t>
            </w:r>
            <w:r w:rsidRPr="00B7395D">
              <w:rPr>
                <w:rFonts w:ascii="Verdana" w:hAnsi="Verdana" w:cs="Arial"/>
                <w:color w:val="000000" w:themeColor="text1"/>
                <w:sz w:val="22"/>
                <w:szCs w:val="22"/>
              </w:rPr>
              <w:t xml:space="preserve">ealth for </w:t>
            </w:r>
            <w:r w:rsidR="001A78F3" w:rsidRPr="00B7395D">
              <w:rPr>
                <w:rFonts w:ascii="Verdana" w:hAnsi="Verdana" w:cs="Arial"/>
                <w:color w:val="000000" w:themeColor="text1"/>
                <w:sz w:val="22"/>
                <w:szCs w:val="22"/>
              </w:rPr>
              <w:t>O</w:t>
            </w:r>
            <w:r w:rsidRPr="00B7395D">
              <w:rPr>
                <w:rFonts w:ascii="Verdana" w:hAnsi="Verdana" w:cs="Arial"/>
                <w:color w:val="000000" w:themeColor="text1"/>
                <w:sz w:val="22"/>
                <w:szCs w:val="22"/>
              </w:rPr>
              <w:t xml:space="preserve">lder </w:t>
            </w:r>
            <w:r w:rsidR="001A78F3" w:rsidRPr="00B7395D">
              <w:rPr>
                <w:rFonts w:ascii="Verdana" w:hAnsi="Verdana" w:cs="Arial"/>
                <w:color w:val="000000" w:themeColor="text1"/>
                <w:sz w:val="22"/>
                <w:szCs w:val="22"/>
              </w:rPr>
              <w:t>P</w:t>
            </w:r>
            <w:r w:rsidRPr="00B7395D">
              <w:rPr>
                <w:rFonts w:ascii="Verdana" w:hAnsi="Verdana" w:cs="Arial"/>
                <w:color w:val="000000" w:themeColor="text1"/>
                <w:sz w:val="22"/>
                <w:szCs w:val="22"/>
              </w:rPr>
              <w:t>eople.</w:t>
            </w:r>
            <w:r w:rsidR="00816C4A">
              <w:rPr>
                <w:rFonts w:ascii="Verdana" w:hAnsi="Verdana" w:cs="Arial"/>
                <w:color w:val="000000" w:themeColor="text1"/>
                <w:sz w:val="22"/>
                <w:szCs w:val="22"/>
              </w:rPr>
              <w:t xml:space="preserve"> </w:t>
            </w:r>
            <w:r w:rsidR="001A78F3" w:rsidRPr="00B7395D">
              <w:rPr>
                <w:rFonts w:ascii="Verdana" w:hAnsi="Verdana" w:cs="Arial"/>
                <w:color w:val="000000" w:themeColor="text1"/>
                <w:sz w:val="22"/>
                <w:szCs w:val="22"/>
              </w:rPr>
              <w:t xml:space="preserve">London: Royal College of Physicians.  Available at: </w:t>
            </w:r>
            <w:hyperlink r:id="rId16" w:history="1">
              <w:r w:rsidR="001A78F3" w:rsidRPr="00B7395D">
                <w:rPr>
                  <w:rStyle w:val="Hyperlink"/>
                  <w:rFonts w:ascii="Verdana" w:hAnsi="Verdana" w:cs="Arial"/>
                  <w:sz w:val="22"/>
                  <w:szCs w:val="22"/>
                </w:rPr>
                <w:t>https://www.rcplondon.ac.uk/sites/default/files/national-clinical-audit-of-falls-and-bone-health-in-older-people-national-report-2007.pdf</w:t>
              </w:r>
            </w:hyperlink>
            <w:r w:rsidR="001A78F3" w:rsidRPr="00B7395D">
              <w:rPr>
                <w:rFonts w:ascii="Verdana" w:hAnsi="Verdana" w:cs="Arial"/>
                <w:color w:val="000000" w:themeColor="text1"/>
                <w:sz w:val="22"/>
                <w:szCs w:val="22"/>
              </w:rPr>
              <w:t xml:space="preserve"> </w:t>
            </w:r>
          </w:p>
          <w:p w14:paraId="3D4432AB" w14:textId="77777777" w:rsidR="00194D0B" w:rsidRPr="00B7395D" w:rsidRDefault="00194D0B" w:rsidP="00194D0B">
            <w:pPr>
              <w:pStyle w:val="ListParagraph"/>
              <w:spacing w:after="120"/>
              <w:ind w:left="723"/>
              <w:rPr>
                <w:rFonts w:ascii="Verdana" w:hAnsi="Verdana" w:cs="Arial"/>
                <w:color w:val="000000" w:themeColor="text1"/>
                <w:szCs w:val="22"/>
              </w:rPr>
            </w:pPr>
          </w:p>
          <w:p w14:paraId="7C58AA40" w14:textId="77777777" w:rsidR="003B094D" w:rsidRPr="00B7395D" w:rsidRDefault="003B094D" w:rsidP="008E637D">
            <w:pPr>
              <w:pStyle w:val="Sub-heading"/>
              <w:numPr>
                <w:ilvl w:val="0"/>
                <w:numId w:val="0"/>
              </w:numPr>
              <w:ind w:left="714" w:hanging="357"/>
              <w:rPr>
                <w:rFonts w:ascii="Verdana" w:hAnsi="Verdana"/>
              </w:rPr>
            </w:pPr>
            <w:r w:rsidRPr="00B7395D">
              <w:rPr>
                <w:rFonts w:ascii="Verdana" w:hAnsi="Verdana"/>
              </w:rPr>
              <w:t>General Overview</w:t>
            </w:r>
          </w:p>
          <w:p w14:paraId="70885B2C" w14:textId="2587BF6C" w:rsidR="00EA525E" w:rsidRPr="00B7395D" w:rsidRDefault="00EA525E" w:rsidP="0026228C">
            <w:pPr>
              <w:pStyle w:val="Body1"/>
              <w:rPr>
                <w:rFonts w:ascii="Verdana" w:hAnsi="Verdana"/>
              </w:rPr>
            </w:pPr>
            <w:r w:rsidRPr="00B7395D">
              <w:rPr>
                <w:rFonts w:ascii="Verdana" w:hAnsi="Verdana"/>
              </w:rPr>
              <w:t>The British Orthopaed</w:t>
            </w:r>
            <w:r w:rsidR="000F0274" w:rsidRPr="00B7395D">
              <w:rPr>
                <w:rFonts w:ascii="Verdana" w:hAnsi="Verdana"/>
              </w:rPr>
              <w:t>ic Association</w:t>
            </w:r>
            <w:r w:rsidR="00443B52" w:rsidRPr="00B7395D">
              <w:rPr>
                <w:rFonts w:ascii="Verdana" w:hAnsi="Verdana"/>
              </w:rPr>
              <w:t xml:space="preserve"> has stated that “</w:t>
            </w:r>
            <w:r w:rsidRPr="00B7395D">
              <w:rPr>
                <w:rFonts w:ascii="Verdana" w:hAnsi="Verdana"/>
              </w:rPr>
              <w:t>A major change is needed in fracture services to ensure that every patient presenting with a fragility fracture is assessed for osteoporosis and referred for treatment as appropriate. Secondary prevention should not only address osteoporosis but the risk of additional falls should be addressed, in terms of the patient’s medical condition and that of their environment.”</w:t>
            </w:r>
            <w:r w:rsidR="00273A6B">
              <w:rPr>
                <w:rStyle w:val="EndnoteReference"/>
                <w:rFonts w:ascii="Verdana" w:hAnsi="Verdana"/>
              </w:rPr>
              <w:endnoteReference w:id="7"/>
            </w:r>
          </w:p>
          <w:p w14:paraId="3A1EA5FD" w14:textId="77777777" w:rsidR="00F40BB4" w:rsidRPr="00B7395D" w:rsidRDefault="00EA525E" w:rsidP="0026228C">
            <w:pPr>
              <w:pStyle w:val="Body1"/>
              <w:rPr>
                <w:rFonts w:ascii="Verdana" w:hAnsi="Verdana"/>
              </w:rPr>
            </w:pPr>
            <w:r w:rsidRPr="00B7395D">
              <w:rPr>
                <w:rFonts w:ascii="Verdana" w:hAnsi="Verdana"/>
              </w:rPr>
              <w:t>Research</w:t>
            </w:r>
            <w:r w:rsidR="00112D17" w:rsidRPr="00B7395D">
              <w:rPr>
                <w:rFonts w:ascii="Verdana" w:hAnsi="Verdana"/>
              </w:rPr>
              <w:t xml:space="preserve"> </w:t>
            </w:r>
            <w:r w:rsidRPr="00B7395D">
              <w:rPr>
                <w:rFonts w:ascii="Verdana" w:hAnsi="Verdana"/>
              </w:rPr>
              <w:t xml:space="preserve">has shown that a </w:t>
            </w:r>
            <w:r w:rsidR="00443B52" w:rsidRPr="00B7395D">
              <w:rPr>
                <w:rFonts w:ascii="Verdana" w:hAnsi="Verdana"/>
              </w:rPr>
              <w:t>previous</w:t>
            </w:r>
            <w:r w:rsidRPr="00B7395D">
              <w:rPr>
                <w:rFonts w:ascii="Verdana" w:hAnsi="Verdana"/>
              </w:rPr>
              <w:t xml:space="preserve"> fracture </w:t>
            </w:r>
            <w:r w:rsidR="00443B52" w:rsidRPr="00B7395D">
              <w:rPr>
                <w:rFonts w:ascii="Verdana" w:hAnsi="Verdana"/>
              </w:rPr>
              <w:t xml:space="preserve">increases a patient’s risk of suffering a further fracture by </w:t>
            </w:r>
            <w:r w:rsidRPr="00B7395D">
              <w:rPr>
                <w:rFonts w:ascii="Verdana" w:hAnsi="Verdana"/>
              </w:rPr>
              <w:t xml:space="preserve">at least </w:t>
            </w:r>
            <w:r w:rsidR="00443B52" w:rsidRPr="00B7395D">
              <w:rPr>
                <w:rFonts w:ascii="Verdana" w:hAnsi="Verdana"/>
              </w:rPr>
              <w:t>twice and that this risk of further fractures may be even greater in men.</w:t>
            </w:r>
            <w:r w:rsidR="00EF30D2" w:rsidRPr="00B7395D">
              <w:rPr>
                <w:rFonts w:ascii="Verdana" w:hAnsi="Verdana"/>
              </w:rPr>
              <w:t xml:space="preserve"> </w:t>
            </w:r>
            <w:r w:rsidR="006C4308" w:rsidRPr="00B7395D">
              <w:rPr>
                <w:rFonts w:ascii="Verdana" w:hAnsi="Verdana"/>
              </w:rPr>
              <w:t xml:space="preserve">The </w:t>
            </w:r>
            <w:r w:rsidRPr="00B7395D">
              <w:rPr>
                <w:rFonts w:ascii="Verdana" w:hAnsi="Verdana"/>
              </w:rPr>
              <w:t xml:space="preserve">future fracture risk is greatest during the first year </w:t>
            </w:r>
            <w:r w:rsidR="00443B52" w:rsidRPr="00B7395D">
              <w:rPr>
                <w:rFonts w:ascii="Verdana" w:hAnsi="Verdana"/>
              </w:rPr>
              <w:t>following the initial</w:t>
            </w:r>
            <w:r w:rsidRPr="00B7395D">
              <w:rPr>
                <w:rFonts w:ascii="Verdana" w:hAnsi="Verdana"/>
              </w:rPr>
              <w:t xml:space="preserve"> fracture</w:t>
            </w:r>
            <w:r w:rsidR="00816C4A">
              <w:rPr>
                <w:rFonts w:ascii="Verdana" w:hAnsi="Verdana"/>
              </w:rPr>
              <w:t xml:space="preserve">. </w:t>
            </w:r>
            <w:r w:rsidR="00443B52" w:rsidRPr="00B7395D">
              <w:rPr>
                <w:rFonts w:ascii="Verdana" w:hAnsi="Verdana"/>
              </w:rPr>
              <w:t>T</w:t>
            </w:r>
            <w:r w:rsidRPr="00B7395D">
              <w:rPr>
                <w:rFonts w:ascii="Verdana" w:hAnsi="Verdana"/>
              </w:rPr>
              <w:t xml:space="preserve">his highlights the need for </w:t>
            </w:r>
            <w:r w:rsidR="00E66A9B" w:rsidRPr="00B7395D">
              <w:rPr>
                <w:rFonts w:ascii="Verdana" w:hAnsi="Verdana"/>
              </w:rPr>
              <w:lastRenderedPageBreak/>
              <w:t xml:space="preserve">early and structured </w:t>
            </w:r>
            <w:r w:rsidRPr="00B7395D">
              <w:rPr>
                <w:rFonts w:ascii="Verdana" w:hAnsi="Verdana"/>
              </w:rPr>
              <w:t>post fracture interventions.</w:t>
            </w:r>
            <w:r w:rsidR="00245988" w:rsidRPr="00B7395D">
              <w:rPr>
                <w:rFonts w:ascii="Verdana" w:hAnsi="Verdana"/>
              </w:rPr>
              <w:t xml:space="preserve"> It has also been shown that </w:t>
            </w:r>
            <w:r w:rsidR="00443B52" w:rsidRPr="00B7395D">
              <w:rPr>
                <w:rFonts w:ascii="Verdana" w:hAnsi="Verdana"/>
              </w:rPr>
              <w:t>increased emphasis on</w:t>
            </w:r>
            <w:r w:rsidR="00245988" w:rsidRPr="00B7395D">
              <w:rPr>
                <w:rFonts w:ascii="Verdana" w:hAnsi="Verdana"/>
              </w:rPr>
              <w:t xml:space="preserve"> prevention</w:t>
            </w:r>
            <w:r w:rsidR="00E370A3" w:rsidRPr="00B7395D">
              <w:rPr>
                <w:rFonts w:ascii="Verdana" w:hAnsi="Verdana"/>
              </w:rPr>
              <w:t xml:space="preserve"> strategies</w:t>
            </w:r>
            <w:r w:rsidR="008540DA" w:rsidRPr="00B7395D">
              <w:rPr>
                <w:rFonts w:ascii="Verdana" w:hAnsi="Verdana"/>
              </w:rPr>
              <w:t>, such</w:t>
            </w:r>
            <w:r w:rsidR="00245988" w:rsidRPr="00B7395D">
              <w:rPr>
                <w:rFonts w:ascii="Verdana" w:hAnsi="Verdana"/>
              </w:rPr>
              <w:t xml:space="preserve"> as pharmacotherapy, reduces </w:t>
            </w:r>
            <w:r w:rsidR="00E370A3" w:rsidRPr="00B7395D">
              <w:rPr>
                <w:rFonts w:ascii="Verdana" w:hAnsi="Verdana"/>
              </w:rPr>
              <w:t xml:space="preserve">the incidence of </w:t>
            </w:r>
            <w:r w:rsidR="006C4308" w:rsidRPr="00B7395D">
              <w:rPr>
                <w:rFonts w:ascii="Verdana" w:hAnsi="Verdana"/>
              </w:rPr>
              <w:t>re-</w:t>
            </w:r>
            <w:r w:rsidR="00245988" w:rsidRPr="00B7395D">
              <w:rPr>
                <w:rFonts w:ascii="Verdana" w:hAnsi="Verdana"/>
              </w:rPr>
              <w:t>fracture</w:t>
            </w:r>
            <w:r w:rsidR="00E66A9B" w:rsidRPr="00B7395D">
              <w:rPr>
                <w:rFonts w:ascii="Verdana" w:hAnsi="Verdana"/>
              </w:rPr>
              <w:t xml:space="preserve"> </w:t>
            </w:r>
            <w:r w:rsidR="006C4308" w:rsidRPr="00B7395D">
              <w:rPr>
                <w:rFonts w:ascii="Verdana" w:hAnsi="Verdana"/>
              </w:rPr>
              <w:t xml:space="preserve">between 20 </w:t>
            </w:r>
            <w:r w:rsidR="00E370A3" w:rsidRPr="00B7395D">
              <w:rPr>
                <w:rFonts w:ascii="Verdana" w:hAnsi="Verdana"/>
              </w:rPr>
              <w:t>and</w:t>
            </w:r>
            <w:r w:rsidR="00E66A9B" w:rsidRPr="00B7395D">
              <w:rPr>
                <w:rFonts w:ascii="Verdana" w:hAnsi="Verdana"/>
              </w:rPr>
              <w:t xml:space="preserve"> </w:t>
            </w:r>
            <w:r w:rsidR="006C4308" w:rsidRPr="00B7395D">
              <w:rPr>
                <w:rFonts w:ascii="Verdana" w:hAnsi="Verdana"/>
              </w:rPr>
              <w:t>70% depending on</w:t>
            </w:r>
            <w:r w:rsidR="00E66A9B" w:rsidRPr="00B7395D">
              <w:rPr>
                <w:rFonts w:ascii="Verdana" w:hAnsi="Verdana"/>
              </w:rPr>
              <w:t xml:space="preserve"> </w:t>
            </w:r>
            <w:r w:rsidR="00E370A3" w:rsidRPr="00B7395D">
              <w:rPr>
                <w:rFonts w:ascii="Verdana" w:hAnsi="Verdana"/>
              </w:rPr>
              <w:t xml:space="preserve">the </w:t>
            </w:r>
            <w:r w:rsidR="00E66A9B" w:rsidRPr="00B7395D">
              <w:rPr>
                <w:rFonts w:ascii="Verdana" w:hAnsi="Verdana"/>
              </w:rPr>
              <w:t>fracture site.</w:t>
            </w:r>
            <w:r w:rsidR="00816C4A">
              <w:rPr>
                <w:rFonts w:ascii="Verdana" w:hAnsi="Verdana"/>
              </w:rPr>
              <w:t xml:space="preserve"> </w:t>
            </w:r>
            <w:r w:rsidR="00A53DF1">
              <w:rPr>
                <w:rFonts w:ascii="Verdana" w:hAnsi="Verdana"/>
              </w:rPr>
              <w:t>This</w:t>
            </w:r>
            <w:r w:rsidR="00816C4A">
              <w:rPr>
                <w:rFonts w:ascii="Verdana" w:hAnsi="Verdana"/>
              </w:rPr>
              <w:t xml:space="preserve"> reduction in fracture incidence</w:t>
            </w:r>
            <w:r w:rsidR="00245988" w:rsidRPr="00B7395D">
              <w:rPr>
                <w:rFonts w:ascii="Verdana" w:hAnsi="Verdana"/>
              </w:rPr>
              <w:t xml:space="preserve"> is realised during three years of pharmacotherapy</w:t>
            </w:r>
            <w:r w:rsidR="00D67013" w:rsidRPr="00B7395D">
              <w:rPr>
                <w:rFonts w:ascii="Verdana" w:hAnsi="Verdana"/>
              </w:rPr>
              <w:t>.</w:t>
            </w:r>
          </w:p>
          <w:p w14:paraId="44D2B041" w14:textId="05123A01" w:rsidR="00ED7923" w:rsidRPr="00B7395D" w:rsidRDefault="00E370A3" w:rsidP="0026228C">
            <w:pPr>
              <w:pStyle w:val="Body1"/>
              <w:rPr>
                <w:rFonts w:ascii="Verdana" w:hAnsi="Verdana"/>
              </w:rPr>
            </w:pPr>
            <w:r w:rsidRPr="00B7395D">
              <w:rPr>
                <w:rFonts w:ascii="Verdana" w:hAnsi="Verdana"/>
              </w:rPr>
              <w:t>Approximately</w:t>
            </w:r>
            <w:r w:rsidR="00E66A9B" w:rsidRPr="00B7395D">
              <w:rPr>
                <w:rFonts w:ascii="Verdana" w:hAnsi="Verdana"/>
              </w:rPr>
              <w:t xml:space="preserve"> 50%</w:t>
            </w:r>
            <w:r w:rsidR="00245988" w:rsidRPr="00B7395D">
              <w:rPr>
                <w:rFonts w:ascii="Verdana" w:hAnsi="Verdana"/>
              </w:rPr>
              <w:t xml:space="preserve"> of hip fracture patients have experienced a prior </w:t>
            </w:r>
            <w:r w:rsidR="00E66A9B" w:rsidRPr="00B7395D">
              <w:rPr>
                <w:rFonts w:ascii="Verdana" w:hAnsi="Verdana"/>
              </w:rPr>
              <w:t xml:space="preserve">fragility </w:t>
            </w:r>
            <w:r w:rsidR="00245988" w:rsidRPr="00B7395D">
              <w:rPr>
                <w:rFonts w:ascii="Verdana" w:hAnsi="Verdana"/>
              </w:rPr>
              <w:t xml:space="preserve">fracture; this could have served as a trigger for assessments of both osteoporosis and falls risk </w:t>
            </w:r>
            <w:r w:rsidRPr="00B7395D">
              <w:rPr>
                <w:rFonts w:ascii="Verdana" w:hAnsi="Verdana"/>
              </w:rPr>
              <w:t xml:space="preserve">thereby </w:t>
            </w:r>
            <w:r w:rsidR="00245988" w:rsidRPr="00B7395D">
              <w:rPr>
                <w:rFonts w:ascii="Verdana" w:hAnsi="Verdana"/>
              </w:rPr>
              <w:t xml:space="preserve">reducing the </w:t>
            </w:r>
            <w:r w:rsidRPr="00B7395D">
              <w:rPr>
                <w:rFonts w:ascii="Verdana" w:hAnsi="Verdana"/>
              </w:rPr>
              <w:t>risk</w:t>
            </w:r>
            <w:r w:rsidR="00245988" w:rsidRPr="00B7395D">
              <w:rPr>
                <w:rFonts w:ascii="Verdana" w:hAnsi="Verdana"/>
              </w:rPr>
              <w:t xml:space="preserve"> of a secondary fracture</w:t>
            </w:r>
            <w:r w:rsidRPr="00B7395D">
              <w:rPr>
                <w:rFonts w:ascii="Verdana" w:hAnsi="Verdana"/>
              </w:rPr>
              <w:t xml:space="preserve"> occurring</w:t>
            </w:r>
            <w:r w:rsidR="00245988" w:rsidRPr="00B7395D">
              <w:rPr>
                <w:rFonts w:ascii="Verdana" w:hAnsi="Verdana"/>
              </w:rPr>
              <w:t>.</w:t>
            </w:r>
            <w:r w:rsidR="00ED701E">
              <w:rPr>
                <w:rStyle w:val="EndnoteReference"/>
                <w:rFonts w:ascii="Verdana" w:hAnsi="Verdana"/>
              </w:rPr>
              <w:endnoteReference w:id="8"/>
            </w:r>
            <w:r w:rsidR="00ED701E" w:rsidRPr="00ED701E">
              <w:rPr>
                <w:rFonts w:ascii="Verdana" w:hAnsi="Verdana"/>
                <w:vertAlign w:val="superscript"/>
              </w:rPr>
              <w:t>,</w:t>
            </w:r>
            <w:r w:rsidR="00ED701E">
              <w:rPr>
                <w:rStyle w:val="EndnoteReference"/>
                <w:rFonts w:ascii="Verdana" w:hAnsi="Verdana"/>
              </w:rPr>
              <w:endnoteReference w:id="9"/>
            </w:r>
            <w:r w:rsidR="00ED701E" w:rsidRPr="00ED701E">
              <w:rPr>
                <w:rFonts w:ascii="Verdana" w:hAnsi="Verdana"/>
                <w:vertAlign w:val="superscript"/>
              </w:rPr>
              <w:t>,</w:t>
            </w:r>
            <w:r w:rsidR="00ED701E">
              <w:rPr>
                <w:rStyle w:val="EndnoteReference"/>
                <w:rFonts w:ascii="Verdana" w:hAnsi="Verdana"/>
              </w:rPr>
              <w:endnoteReference w:id="10"/>
            </w:r>
            <w:r w:rsidR="00ED701E" w:rsidRPr="00ED701E">
              <w:rPr>
                <w:rFonts w:ascii="Verdana" w:hAnsi="Verdana"/>
                <w:vertAlign w:val="superscript"/>
              </w:rPr>
              <w:t>,</w:t>
            </w:r>
            <w:r w:rsidR="00ED701E">
              <w:rPr>
                <w:rStyle w:val="EndnoteReference"/>
                <w:rFonts w:ascii="Verdana" w:hAnsi="Verdana"/>
              </w:rPr>
              <w:endnoteReference w:id="11"/>
            </w:r>
            <w:r w:rsidR="00992044">
              <w:rPr>
                <w:rFonts w:ascii="Verdana" w:hAnsi="Verdana"/>
                <w:vertAlign w:val="superscript"/>
              </w:rPr>
              <w:t xml:space="preserve"> </w:t>
            </w:r>
            <w:r w:rsidRPr="00B7395D">
              <w:rPr>
                <w:rFonts w:ascii="Verdana" w:hAnsi="Verdana"/>
              </w:rPr>
              <w:t xml:space="preserve"> F</w:t>
            </w:r>
            <w:r w:rsidR="00E66A9B" w:rsidRPr="00B7395D">
              <w:rPr>
                <w:rFonts w:ascii="Verdana" w:hAnsi="Verdana"/>
              </w:rPr>
              <w:t>racture</w:t>
            </w:r>
            <w:r w:rsidRPr="00B7395D">
              <w:rPr>
                <w:rFonts w:ascii="Verdana" w:hAnsi="Verdana"/>
              </w:rPr>
              <w:t>s</w:t>
            </w:r>
            <w:r w:rsidR="00E66A9B" w:rsidRPr="00B7395D">
              <w:rPr>
                <w:rFonts w:ascii="Verdana" w:hAnsi="Verdana"/>
              </w:rPr>
              <w:t xml:space="preserve"> should not be thought of as isolated event</w:t>
            </w:r>
            <w:r w:rsidRPr="00B7395D">
              <w:rPr>
                <w:rFonts w:ascii="Verdana" w:hAnsi="Verdana"/>
              </w:rPr>
              <w:t>s</w:t>
            </w:r>
            <w:r w:rsidR="00E66A9B" w:rsidRPr="00B7395D">
              <w:rPr>
                <w:rFonts w:ascii="Verdana" w:hAnsi="Verdana"/>
              </w:rPr>
              <w:t xml:space="preserve"> but rather </w:t>
            </w:r>
            <w:r w:rsidRPr="00B7395D">
              <w:rPr>
                <w:rFonts w:ascii="Verdana" w:hAnsi="Verdana"/>
              </w:rPr>
              <w:t>as</w:t>
            </w:r>
            <w:r w:rsidR="00E66A9B" w:rsidRPr="00B7395D">
              <w:rPr>
                <w:rFonts w:ascii="Verdana" w:hAnsi="Verdana"/>
              </w:rPr>
              <w:t xml:space="preserve"> part of an</w:t>
            </w:r>
            <w:r w:rsidR="00E47663">
              <w:rPr>
                <w:rFonts w:ascii="Verdana" w:hAnsi="Verdana"/>
              </w:rPr>
              <w:t xml:space="preserve"> </w:t>
            </w:r>
            <w:r w:rsidR="00E66A9B" w:rsidRPr="00B7395D">
              <w:rPr>
                <w:rFonts w:ascii="Verdana" w:hAnsi="Verdana"/>
              </w:rPr>
              <w:t>ongoing chronic disease process ultimately associated with progressive morbidity and premature mortality.</w:t>
            </w:r>
          </w:p>
          <w:p w14:paraId="61C0832E" w14:textId="77777777" w:rsidR="00ED7923" w:rsidRPr="00B7395D" w:rsidRDefault="00ED7923" w:rsidP="0026228C">
            <w:pPr>
              <w:pStyle w:val="Body1"/>
              <w:rPr>
                <w:rFonts w:ascii="Verdana" w:hAnsi="Verdana"/>
              </w:rPr>
            </w:pPr>
            <w:r w:rsidRPr="00B7395D">
              <w:rPr>
                <w:rFonts w:ascii="Verdana" w:hAnsi="Verdana"/>
              </w:rPr>
              <w:t xml:space="preserve">Early </w:t>
            </w:r>
            <w:r w:rsidR="00E66A9B" w:rsidRPr="00B7395D">
              <w:rPr>
                <w:rFonts w:ascii="Verdana" w:hAnsi="Verdana"/>
              </w:rPr>
              <w:t xml:space="preserve">assessment aimed at prevention </w:t>
            </w:r>
            <w:r w:rsidR="00590EB6" w:rsidRPr="00B7395D">
              <w:rPr>
                <w:rFonts w:ascii="Verdana" w:hAnsi="Verdana"/>
              </w:rPr>
              <w:t>of</w:t>
            </w:r>
            <w:r w:rsidR="00E370A3" w:rsidRPr="00B7395D">
              <w:rPr>
                <w:rFonts w:ascii="Verdana" w:hAnsi="Verdana"/>
              </w:rPr>
              <w:t xml:space="preserve"> secondary</w:t>
            </w:r>
            <w:r w:rsidR="00590EB6" w:rsidRPr="00B7395D">
              <w:rPr>
                <w:rFonts w:ascii="Verdana" w:hAnsi="Verdana"/>
              </w:rPr>
              <w:t xml:space="preserve"> fragility fractures </w:t>
            </w:r>
            <w:r w:rsidRPr="00B7395D">
              <w:rPr>
                <w:rFonts w:ascii="Verdana" w:hAnsi="Verdana"/>
              </w:rPr>
              <w:t>will result in optimisation of clinical care, which will lead t</w:t>
            </w:r>
            <w:r w:rsidR="00D67013" w:rsidRPr="00B7395D">
              <w:rPr>
                <w:rFonts w:ascii="Verdana" w:hAnsi="Verdana"/>
              </w:rPr>
              <w:t>o improved outcomes in terms of:</w:t>
            </w:r>
          </w:p>
          <w:p w14:paraId="3175662F" w14:textId="77777777" w:rsidR="00E704E1" w:rsidRPr="00B7395D" w:rsidRDefault="00ED7923" w:rsidP="00EA6DF4">
            <w:pPr>
              <w:pStyle w:val="ListParagraph"/>
              <w:numPr>
                <w:ilvl w:val="0"/>
                <w:numId w:val="12"/>
              </w:numPr>
              <w:spacing w:after="120"/>
              <w:jc w:val="both"/>
              <w:rPr>
                <w:rFonts w:ascii="Verdana" w:hAnsi="Verdana" w:cs="Arial"/>
                <w:color w:val="000000" w:themeColor="text1"/>
                <w:szCs w:val="22"/>
              </w:rPr>
            </w:pPr>
            <w:r w:rsidRPr="00B7395D">
              <w:rPr>
                <w:rFonts w:ascii="Verdana" w:hAnsi="Verdana" w:cs="Arial"/>
                <w:color w:val="000000" w:themeColor="text1"/>
                <w:sz w:val="22"/>
                <w:szCs w:val="22"/>
              </w:rPr>
              <w:t>Long term reduction in fragility fracture</w:t>
            </w:r>
          </w:p>
          <w:p w14:paraId="7FDDF72E" w14:textId="77777777" w:rsidR="00E704E1" w:rsidRPr="00B7395D" w:rsidRDefault="00ED7923" w:rsidP="00EA6DF4">
            <w:pPr>
              <w:pStyle w:val="ListParagraph"/>
              <w:numPr>
                <w:ilvl w:val="0"/>
                <w:numId w:val="12"/>
              </w:numPr>
              <w:spacing w:after="120"/>
              <w:jc w:val="both"/>
              <w:rPr>
                <w:rFonts w:ascii="Verdana" w:hAnsi="Verdana" w:cs="Arial"/>
                <w:color w:val="000000" w:themeColor="text1"/>
                <w:szCs w:val="22"/>
              </w:rPr>
            </w:pPr>
            <w:r w:rsidRPr="00B7395D">
              <w:rPr>
                <w:rFonts w:ascii="Verdana" w:hAnsi="Verdana" w:cs="Arial"/>
                <w:color w:val="000000" w:themeColor="text1"/>
                <w:sz w:val="22"/>
                <w:szCs w:val="22"/>
              </w:rPr>
              <w:t>Decrease in delay</w:t>
            </w:r>
            <w:r w:rsidR="00816C4A">
              <w:rPr>
                <w:rFonts w:ascii="Verdana" w:hAnsi="Verdana" w:cs="Arial"/>
                <w:color w:val="000000" w:themeColor="text1"/>
                <w:sz w:val="22"/>
                <w:szCs w:val="22"/>
              </w:rPr>
              <w:t xml:space="preserve"> in assessments for bone health</w:t>
            </w:r>
          </w:p>
          <w:p w14:paraId="0160A550" w14:textId="77777777" w:rsidR="00372920" w:rsidRPr="00B7395D" w:rsidRDefault="00F47CA6" w:rsidP="00EA6DF4">
            <w:pPr>
              <w:pStyle w:val="ListParagraph"/>
              <w:numPr>
                <w:ilvl w:val="0"/>
                <w:numId w:val="12"/>
              </w:numPr>
              <w:spacing w:after="120"/>
              <w:jc w:val="both"/>
              <w:rPr>
                <w:rFonts w:ascii="Verdana" w:hAnsi="Verdana" w:cs="Arial"/>
                <w:color w:val="000000" w:themeColor="text1"/>
                <w:szCs w:val="22"/>
              </w:rPr>
            </w:pPr>
            <w:r w:rsidRPr="00B7395D">
              <w:rPr>
                <w:rFonts w:ascii="Verdana" w:hAnsi="Verdana" w:cs="Arial"/>
                <w:color w:val="000000" w:themeColor="text1"/>
                <w:sz w:val="22"/>
                <w:szCs w:val="22"/>
              </w:rPr>
              <w:t>Appropriate r</w:t>
            </w:r>
            <w:r w:rsidR="00ED7923" w:rsidRPr="00B7395D">
              <w:rPr>
                <w:rFonts w:ascii="Verdana" w:hAnsi="Verdana" w:cs="Arial"/>
                <w:color w:val="000000" w:themeColor="text1"/>
                <w:sz w:val="22"/>
                <w:szCs w:val="22"/>
              </w:rPr>
              <w:t>eferral for bone densitometry via DXA</w:t>
            </w:r>
          </w:p>
          <w:p w14:paraId="73B29C71" w14:textId="77777777" w:rsidR="00E704E1" w:rsidRPr="00B7395D" w:rsidRDefault="00ED7923" w:rsidP="00EA6DF4">
            <w:pPr>
              <w:pStyle w:val="ListParagraph"/>
              <w:numPr>
                <w:ilvl w:val="0"/>
                <w:numId w:val="12"/>
              </w:numPr>
              <w:spacing w:after="120"/>
              <w:jc w:val="both"/>
              <w:rPr>
                <w:rFonts w:ascii="Verdana" w:hAnsi="Verdana" w:cs="Arial"/>
                <w:color w:val="000000" w:themeColor="text1"/>
                <w:szCs w:val="22"/>
              </w:rPr>
            </w:pPr>
            <w:r w:rsidRPr="00B7395D">
              <w:rPr>
                <w:rFonts w:ascii="Verdana" w:hAnsi="Verdana" w:cs="Arial"/>
                <w:color w:val="000000" w:themeColor="text1"/>
                <w:sz w:val="22"/>
                <w:szCs w:val="22"/>
              </w:rPr>
              <w:t xml:space="preserve">Medication adherence </w:t>
            </w:r>
            <w:r w:rsidR="00F47CA6" w:rsidRPr="00B7395D">
              <w:rPr>
                <w:rFonts w:ascii="Verdana" w:hAnsi="Verdana" w:cs="Arial"/>
                <w:color w:val="000000" w:themeColor="text1"/>
                <w:sz w:val="22"/>
                <w:szCs w:val="22"/>
              </w:rPr>
              <w:t xml:space="preserve">through education and </w:t>
            </w:r>
            <w:r w:rsidRPr="00B7395D">
              <w:rPr>
                <w:rFonts w:ascii="Verdana" w:hAnsi="Verdana" w:cs="Arial"/>
                <w:color w:val="000000" w:themeColor="text1"/>
                <w:sz w:val="22"/>
                <w:szCs w:val="22"/>
              </w:rPr>
              <w:t>support</w:t>
            </w:r>
          </w:p>
          <w:p w14:paraId="2628859A" w14:textId="77777777" w:rsidR="00E704E1" w:rsidRPr="00B7395D" w:rsidRDefault="00ED7923" w:rsidP="00EA6DF4">
            <w:pPr>
              <w:pStyle w:val="ListParagraph"/>
              <w:numPr>
                <w:ilvl w:val="0"/>
                <w:numId w:val="12"/>
              </w:numPr>
              <w:spacing w:after="120"/>
              <w:jc w:val="both"/>
              <w:rPr>
                <w:rFonts w:ascii="Verdana" w:hAnsi="Verdana" w:cs="Arial"/>
                <w:color w:val="000000" w:themeColor="text1"/>
                <w:szCs w:val="22"/>
              </w:rPr>
            </w:pPr>
            <w:r w:rsidRPr="00B7395D">
              <w:rPr>
                <w:rFonts w:ascii="Verdana" w:hAnsi="Verdana" w:cs="Arial"/>
                <w:color w:val="000000" w:themeColor="text1"/>
                <w:sz w:val="22"/>
                <w:szCs w:val="22"/>
              </w:rPr>
              <w:t>Improved quality of life</w:t>
            </w:r>
          </w:p>
          <w:p w14:paraId="7B9A2F32" w14:textId="77777777" w:rsidR="00E704E1" w:rsidRPr="00B7395D" w:rsidRDefault="00816C4A" w:rsidP="00EA6DF4">
            <w:pPr>
              <w:pStyle w:val="ListParagraph"/>
              <w:numPr>
                <w:ilvl w:val="0"/>
                <w:numId w:val="12"/>
              </w:numPr>
              <w:spacing w:after="120"/>
              <w:jc w:val="both"/>
              <w:rPr>
                <w:rFonts w:ascii="Verdana" w:hAnsi="Verdana" w:cs="Arial"/>
                <w:color w:val="000000" w:themeColor="text1"/>
                <w:szCs w:val="22"/>
              </w:rPr>
            </w:pPr>
            <w:r>
              <w:rPr>
                <w:rFonts w:ascii="Verdana" w:hAnsi="Verdana" w:cs="Arial"/>
                <w:color w:val="000000" w:themeColor="text1"/>
                <w:sz w:val="22"/>
                <w:szCs w:val="22"/>
              </w:rPr>
              <w:t>Improved health and</w:t>
            </w:r>
            <w:r w:rsidR="00ED7923" w:rsidRPr="00B7395D">
              <w:rPr>
                <w:rFonts w:ascii="Verdana" w:hAnsi="Verdana" w:cs="Arial"/>
                <w:color w:val="000000" w:themeColor="text1"/>
                <w:sz w:val="22"/>
                <w:szCs w:val="22"/>
              </w:rPr>
              <w:t xml:space="preserve"> well</w:t>
            </w:r>
            <w:r w:rsidR="00E370A3" w:rsidRPr="00B7395D">
              <w:rPr>
                <w:rFonts w:ascii="Verdana" w:hAnsi="Verdana" w:cs="Arial"/>
                <w:color w:val="000000" w:themeColor="text1"/>
                <w:sz w:val="22"/>
                <w:szCs w:val="22"/>
              </w:rPr>
              <w:t>-</w:t>
            </w:r>
            <w:r w:rsidR="00ED7923" w:rsidRPr="00B7395D">
              <w:rPr>
                <w:rFonts w:ascii="Verdana" w:hAnsi="Verdana" w:cs="Arial"/>
                <w:color w:val="000000" w:themeColor="text1"/>
                <w:sz w:val="22"/>
                <w:szCs w:val="22"/>
              </w:rPr>
              <w:t>being</w:t>
            </w:r>
          </w:p>
          <w:p w14:paraId="65119197" w14:textId="77777777" w:rsidR="00E704E1" w:rsidRPr="00B7395D" w:rsidRDefault="00ED7923" w:rsidP="00EA6DF4">
            <w:pPr>
              <w:pStyle w:val="ListParagraph"/>
              <w:numPr>
                <w:ilvl w:val="0"/>
                <w:numId w:val="12"/>
              </w:numPr>
              <w:spacing w:after="120"/>
              <w:jc w:val="both"/>
              <w:rPr>
                <w:rFonts w:ascii="Verdana" w:hAnsi="Verdana" w:cs="Arial"/>
                <w:color w:val="000000" w:themeColor="text1"/>
                <w:szCs w:val="22"/>
              </w:rPr>
            </w:pPr>
            <w:r w:rsidRPr="00B7395D">
              <w:rPr>
                <w:rFonts w:ascii="Verdana" w:hAnsi="Verdana" w:cs="Arial"/>
                <w:color w:val="000000" w:themeColor="text1"/>
                <w:sz w:val="22"/>
                <w:szCs w:val="22"/>
              </w:rPr>
              <w:t xml:space="preserve">Referral into </w:t>
            </w:r>
            <w:r w:rsidR="00F47CA6" w:rsidRPr="00B7395D">
              <w:rPr>
                <w:rFonts w:ascii="Verdana" w:hAnsi="Verdana" w:cs="Arial"/>
                <w:color w:val="000000" w:themeColor="text1"/>
                <w:sz w:val="22"/>
                <w:szCs w:val="22"/>
              </w:rPr>
              <w:t xml:space="preserve">and uptake of </w:t>
            </w:r>
            <w:r w:rsidRPr="00B7395D">
              <w:rPr>
                <w:rFonts w:ascii="Verdana" w:hAnsi="Verdana" w:cs="Arial"/>
                <w:color w:val="000000" w:themeColor="text1"/>
                <w:sz w:val="22"/>
                <w:szCs w:val="22"/>
              </w:rPr>
              <w:t>falls services to imple</w:t>
            </w:r>
            <w:r w:rsidR="00F95D8E" w:rsidRPr="00B7395D">
              <w:rPr>
                <w:rFonts w:ascii="Verdana" w:hAnsi="Verdana" w:cs="Arial"/>
                <w:color w:val="000000" w:themeColor="text1"/>
                <w:sz w:val="22"/>
                <w:szCs w:val="22"/>
              </w:rPr>
              <w:t>ment interventions around falls</w:t>
            </w:r>
          </w:p>
          <w:p w14:paraId="6E0B3494" w14:textId="77777777" w:rsidR="00E704E1" w:rsidRPr="00B7395D" w:rsidRDefault="00ED7923" w:rsidP="00EA6DF4">
            <w:pPr>
              <w:pStyle w:val="ListParagraph"/>
              <w:numPr>
                <w:ilvl w:val="0"/>
                <w:numId w:val="12"/>
              </w:numPr>
              <w:spacing w:after="120"/>
              <w:jc w:val="both"/>
              <w:rPr>
                <w:rFonts w:ascii="Verdana" w:hAnsi="Verdana" w:cs="Arial"/>
                <w:color w:val="000000" w:themeColor="text1"/>
                <w:szCs w:val="22"/>
              </w:rPr>
            </w:pPr>
            <w:r w:rsidRPr="00B7395D">
              <w:rPr>
                <w:rFonts w:ascii="Verdana" w:hAnsi="Verdana" w:cs="Arial"/>
                <w:color w:val="000000" w:themeColor="text1"/>
                <w:sz w:val="22"/>
                <w:szCs w:val="22"/>
              </w:rPr>
              <w:t>Reduction in mortality rate</w:t>
            </w:r>
            <w:r w:rsidR="00E370A3" w:rsidRPr="00B7395D">
              <w:rPr>
                <w:rFonts w:ascii="Verdana" w:hAnsi="Verdana" w:cs="Arial"/>
                <w:color w:val="000000" w:themeColor="text1"/>
                <w:sz w:val="22"/>
                <w:szCs w:val="22"/>
              </w:rPr>
              <w:t>.</w:t>
            </w:r>
          </w:p>
          <w:p w14:paraId="3EED1318" w14:textId="3E9C5574" w:rsidR="00630685" w:rsidRPr="00280026" w:rsidRDefault="0022553E" w:rsidP="0026228C">
            <w:pPr>
              <w:pStyle w:val="Body1"/>
              <w:rPr>
                <w:rFonts w:ascii="Verdana" w:hAnsi="Verdana"/>
              </w:rPr>
            </w:pPr>
            <w:r w:rsidRPr="00B7395D">
              <w:rPr>
                <w:rFonts w:ascii="Verdana" w:hAnsi="Verdana"/>
              </w:rPr>
              <w:t>A systematic approach to the prevention of secondary fractures is</w:t>
            </w:r>
            <w:r>
              <w:rPr>
                <w:rFonts w:ascii="Verdana" w:hAnsi="Verdana"/>
              </w:rPr>
              <w:t xml:space="preserve"> evidence based and effective.</w:t>
            </w:r>
            <w:bookmarkStart w:id="0" w:name="_Ref443147137"/>
            <w:r w:rsidR="00ED701E">
              <w:rPr>
                <w:rStyle w:val="EndnoteReference"/>
                <w:rFonts w:ascii="Verdana" w:hAnsi="Verdana"/>
              </w:rPr>
              <w:endnoteReference w:id="12"/>
            </w:r>
            <w:bookmarkEnd w:id="0"/>
            <w:r>
              <w:rPr>
                <w:rFonts w:ascii="Verdana" w:hAnsi="Verdana"/>
              </w:rPr>
              <w:t xml:space="preserve"> </w:t>
            </w:r>
            <w:r w:rsidR="008B4629" w:rsidRPr="00B7395D">
              <w:rPr>
                <w:rFonts w:ascii="Verdana" w:hAnsi="Verdana"/>
              </w:rPr>
              <w:t xml:space="preserve">The second of the Department of Health’s four objectives in its systematic approach to falls and fracture care and prevention is </w:t>
            </w:r>
            <w:r w:rsidR="00C51FC2" w:rsidRPr="00B7395D">
              <w:rPr>
                <w:rFonts w:ascii="Verdana" w:hAnsi="Verdana"/>
                <w:i/>
              </w:rPr>
              <w:t>‘Respond to the first fracture, prevent the second</w:t>
            </w:r>
            <w:r w:rsidR="00816C4A">
              <w:rPr>
                <w:rFonts w:ascii="Verdana" w:hAnsi="Verdana"/>
                <w:i/>
              </w:rPr>
              <w:t>.</w:t>
            </w:r>
            <w:r w:rsidR="00C51FC2" w:rsidRPr="00B7395D">
              <w:rPr>
                <w:rFonts w:ascii="Verdana" w:hAnsi="Verdana"/>
                <w:i/>
              </w:rPr>
              <w:t>’</w:t>
            </w:r>
            <w:r w:rsidR="00873557" w:rsidRPr="00873557">
              <w:rPr>
                <w:rFonts w:ascii="Verdana" w:hAnsi="Verdana"/>
                <w:vertAlign w:val="superscript"/>
              </w:rPr>
              <w:t xml:space="preserve"> </w:t>
            </w:r>
            <w:r w:rsidR="001A6E35">
              <w:rPr>
                <w:rFonts w:ascii="Verdana" w:hAnsi="Verdana"/>
              </w:rPr>
              <w:fldChar w:fldCharType="begin"/>
            </w:r>
            <w:r w:rsidR="001A6E35">
              <w:rPr>
                <w:rFonts w:ascii="Verdana" w:hAnsi="Verdana"/>
                <w:vertAlign w:val="superscript"/>
              </w:rPr>
              <w:instrText xml:space="preserve"> NOTEREF _Ref443147137 \h \f</w:instrText>
            </w:r>
            <w:r w:rsidR="001A6E35">
              <w:rPr>
                <w:rFonts w:ascii="Verdana" w:hAnsi="Verdana"/>
              </w:rPr>
            </w:r>
            <w:r w:rsidR="001A6E35">
              <w:rPr>
                <w:rFonts w:ascii="Verdana" w:hAnsi="Verdana"/>
              </w:rPr>
              <w:fldChar w:fldCharType="separate"/>
            </w:r>
            <w:r w:rsidR="001A6E35">
              <w:rPr>
                <w:rFonts w:ascii="Verdana" w:hAnsi="Verdana"/>
                <w:vertAlign w:val="superscript"/>
              </w:rPr>
              <w:t>12</w:t>
            </w:r>
            <w:r w:rsidR="001A6E35">
              <w:rPr>
                <w:rFonts w:ascii="Verdana" w:hAnsi="Verdana"/>
              </w:rPr>
              <w:fldChar w:fldCharType="end"/>
            </w:r>
          </w:p>
          <w:p w14:paraId="280246FA" w14:textId="77777777" w:rsidR="00D22A43" w:rsidRPr="00B7395D" w:rsidRDefault="00C51FC2" w:rsidP="00794DF7">
            <w:pPr>
              <w:pStyle w:val="Body1"/>
              <w:rPr>
                <w:rFonts w:ascii="Verdana" w:hAnsi="Verdana"/>
                <w:color w:val="009966"/>
                <w:sz w:val="20"/>
              </w:rPr>
            </w:pPr>
            <w:r w:rsidRPr="00B7395D">
              <w:rPr>
                <w:rFonts w:ascii="Verdana" w:hAnsi="Verdana"/>
              </w:rPr>
              <w:t xml:space="preserve">The challenge is how </w:t>
            </w:r>
            <w:r w:rsidR="00794DF7">
              <w:rPr>
                <w:rFonts w:ascii="Verdana" w:hAnsi="Verdana"/>
              </w:rPr>
              <w:t xml:space="preserve">to </w:t>
            </w:r>
            <w:r w:rsidRPr="00B7395D">
              <w:rPr>
                <w:rFonts w:ascii="Verdana" w:hAnsi="Verdana"/>
              </w:rPr>
              <w:t xml:space="preserve">consistently </w:t>
            </w:r>
            <w:r w:rsidR="00630685" w:rsidRPr="00B7395D">
              <w:rPr>
                <w:rFonts w:ascii="Verdana" w:hAnsi="Verdana"/>
              </w:rPr>
              <w:t xml:space="preserve">and effectively </w:t>
            </w:r>
            <w:r w:rsidRPr="00B7395D">
              <w:rPr>
                <w:rFonts w:ascii="Verdana" w:hAnsi="Verdana"/>
              </w:rPr>
              <w:t xml:space="preserve">deliver this secondary </w:t>
            </w:r>
            <w:r w:rsidR="00630685" w:rsidRPr="00B7395D">
              <w:rPr>
                <w:rFonts w:ascii="Verdana" w:hAnsi="Verdana"/>
              </w:rPr>
              <w:t xml:space="preserve">fracture </w:t>
            </w:r>
            <w:r w:rsidRPr="00B7395D">
              <w:rPr>
                <w:rFonts w:ascii="Verdana" w:hAnsi="Verdana"/>
              </w:rPr>
              <w:t xml:space="preserve">prevention </w:t>
            </w:r>
            <w:r w:rsidR="00630685" w:rsidRPr="00B7395D">
              <w:rPr>
                <w:rFonts w:ascii="Verdana" w:hAnsi="Verdana"/>
              </w:rPr>
              <w:t>service</w:t>
            </w:r>
            <w:r w:rsidRPr="00B7395D">
              <w:rPr>
                <w:rFonts w:ascii="Verdana" w:hAnsi="Verdana"/>
              </w:rPr>
              <w:t xml:space="preserve"> to all patients who present with a fragility fracture</w:t>
            </w:r>
            <w:r w:rsidR="0026228C" w:rsidRPr="00B7395D">
              <w:rPr>
                <w:rFonts w:ascii="Verdana" w:hAnsi="Verdana"/>
              </w:rPr>
              <w:t>. T</w:t>
            </w:r>
            <w:r w:rsidRPr="00B7395D">
              <w:rPr>
                <w:rFonts w:ascii="Verdana" w:hAnsi="Verdana"/>
              </w:rPr>
              <w:t xml:space="preserve">he </w:t>
            </w:r>
            <w:r w:rsidR="00630685" w:rsidRPr="00B7395D">
              <w:rPr>
                <w:rFonts w:ascii="Verdana" w:hAnsi="Verdana"/>
              </w:rPr>
              <w:t xml:space="preserve">model of the integrated </w:t>
            </w:r>
            <w:r w:rsidRPr="00B7395D">
              <w:rPr>
                <w:rFonts w:ascii="Verdana" w:hAnsi="Verdana"/>
              </w:rPr>
              <w:t>FLS</w:t>
            </w:r>
            <w:r w:rsidR="00630685" w:rsidRPr="00B7395D">
              <w:rPr>
                <w:rFonts w:ascii="Verdana" w:hAnsi="Verdana"/>
              </w:rPr>
              <w:t xml:space="preserve"> is now widely </w:t>
            </w:r>
            <w:r w:rsidRPr="00B7395D">
              <w:rPr>
                <w:rFonts w:ascii="Verdana" w:hAnsi="Verdana"/>
              </w:rPr>
              <w:t>recognised as the most effective approa</w:t>
            </w:r>
            <w:r w:rsidR="00794DF7">
              <w:rPr>
                <w:rFonts w:ascii="Verdana" w:hAnsi="Verdana"/>
              </w:rPr>
              <w:t xml:space="preserve">ch to delivering this service. </w:t>
            </w:r>
            <w:r w:rsidR="00630685" w:rsidRPr="00B7395D">
              <w:rPr>
                <w:rFonts w:ascii="Verdana" w:hAnsi="Verdana"/>
              </w:rPr>
              <w:t>An effective FLS is</w:t>
            </w:r>
            <w:r w:rsidRPr="00B7395D">
              <w:rPr>
                <w:rFonts w:ascii="Verdana" w:hAnsi="Verdana"/>
              </w:rPr>
              <w:t xml:space="preserve"> developed around a fracture liaison coordinator – often a nurse specialist</w:t>
            </w:r>
            <w:r w:rsidR="006F4DE1" w:rsidRPr="00B7395D">
              <w:rPr>
                <w:rFonts w:ascii="Verdana" w:hAnsi="Verdana"/>
              </w:rPr>
              <w:t xml:space="preserve"> </w:t>
            </w:r>
            <w:r w:rsidR="00574589" w:rsidRPr="00B7395D">
              <w:rPr>
                <w:rFonts w:ascii="Verdana" w:hAnsi="Verdana"/>
              </w:rPr>
              <w:t>– s</w:t>
            </w:r>
            <w:r w:rsidRPr="00B7395D">
              <w:rPr>
                <w:rFonts w:ascii="Verdana" w:hAnsi="Verdana"/>
              </w:rPr>
              <w:t>uppo</w:t>
            </w:r>
            <w:r w:rsidR="00794DF7">
              <w:rPr>
                <w:rFonts w:ascii="Verdana" w:hAnsi="Verdana"/>
              </w:rPr>
              <w:t xml:space="preserve">rted by a named lead clinician. </w:t>
            </w:r>
            <w:r w:rsidRPr="00B7395D">
              <w:rPr>
                <w:rFonts w:ascii="Verdana" w:hAnsi="Verdana"/>
              </w:rPr>
              <w:t>The service promote</w:t>
            </w:r>
            <w:r w:rsidR="006F4DE1" w:rsidRPr="00B7395D">
              <w:rPr>
                <w:rFonts w:ascii="Verdana" w:hAnsi="Verdana"/>
              </w:rPr>
              <w:t>s</w:t>
            </w:r>
            <w:r w:rsidRPr="00B7395D">
              <w:rPr>
                <w:rFonts w:ascii="Verdana" w:hAnsi="Verdana"/>
              </w:rPr>
              <w:t xml:space="preserve"> coordination between acute, community and primary care to ensure that care is seamless and consistent.  </w:t>
            </w:r>
          </w:p>
        </w:tc>
      </w:tr>
      <w:tr w:rsidR="00075A83" w:rsidRPr="00B7395D" w14:paraId="4720012F" w14:textId="77777777" w:rsidTr="007D3594">
        <w:trPr>
          <w:trHeight w:val="121"/>
        </w:trPr>
        <w:tc>
          <w:tcPr>
            <w:tcW w:w="8908" w:type="dxa"/>
            <w:shd w:val="clear" w:color="auto" w:fill="595959"/>
          </w:tcPr>
          <w:p w14:paraId="4445DC44" w14:textId="77777777" w:rsidR="00075A83" w:rsidRPr="00B7395D" w:rsidRDefault="00075A83" w:rsidP="00574589">
            <w:pPr>
              <w:pStyle w:val="Mainheading"/>
              <w:tabs>
                <w:tab w:val="left" w:pos="720"/>
                <w:tab w:val="left" w:pos="1440"/>
                <w:tab w:val="left" w:pos="2160"/>
                <w:tab w:val="right" w:pos="8692"/>
              </w:tabs>
              <w:rPr>
                <w:rFonts w:ascii="Verdana" w:hAnsi="Verdana"/>
              </w:rPr>
            </w:pPr>
            <w:r w:rsidRPr="00B7395D">
              <w:rPr>
                <w:rFonts w:ascii="Verdana" w:hAnsi="Verdana"/>
              </w:rPr>
              <w:lastRenderedPageBreak/>
              <w:t>2.</w:t>
            </w:r>
            <w:r w:rsidRPr="00B7395D">
              <w:rPr>
                <w:rFonts w:ascii="Verdana" w:hAnsi="Verdana"/>
              </w:rPr>
              <w:tab/>
              <w:t>Outcomes</w:t>
            </w:r>
            <w:r w:rsidR="00574589" w:rsidRPr="00B7395D">
              <w:rPr>
                <w:rFonts w:ascii="Verdana" w:hAnsi="Verdana"/>
              </w:rPr>
              <w:tab/>
            </w:r>
          </w:p>
        </w:tc>
      </w:tr>
      <w:tr w:rsidR="00075A83" w:rsidRPr="00B7395D" w14:paraId="3B087290" w14:textId="77777777" w:rsidTr="007D3594">
        <w:trPr>
          <w:trHeight w:val="121"/>
        </w:trPr>
        <w:tc>
          <w:tcPr>
            <w:tcW w:w="8908" w:type="dxa"/>
            <w:shd w:val="clear" w:color="auto" w:fill="FFFFFF" w:themeFill="background1"/>
          </w:tcPr>
          <w:p w14:paraId="31DA31CE" w14:textId="77777777" w:rsidR="00454466" w:rsidRPr="00B7395D" w:rsidRDefault="00075A83" w:rsidP="006F4DE1">
            <w:pPr>
              <w:spacing w:before="120" w:after="120"/>
              <w:rPr>
                <w:rFonts w:ascii="Verdana" w:hAnsi="Verdana" w:cs="Arial"/>
                <w:b/>
                <w:color w:val="009966"/>
                <w:sz w:val="28"/>
                <w:szCs w:val="28"/>
                <w:lang w:val="en-GB"/>
              </w:rPr>
            </w:pPr>
            <w:r w:rsidRPr="00B7395D">
              <w:rPr>
                <w:rFonts w:ascii="Verdana" w:hAnsi="Verdana" w:cs="Arial"/>
                <w:b/>
                <w:color w:val="00B050"/>
                <w:sz w:val="28"/>
                <w:szCs w:val="28"/>
                <w:lang w:val="en-GB"/>
              </w:rPr>
              <w:t>2.1</w:t>
            </w:r>
            <w:r w:rsidR="000B2192" w:rsidRPr="00B7395D">
              <w:rPr>
                <w:rFonts w:ascii="Verdana" w:hAnsi="Verdana" w:cs="Arial"/>
                <w:b/>
                <w:color w:val="00B050"/>
                <w:sz w:val="28"/>
                <w:szCs w:val="28"/>
                <w:lang w:val="en-GB"/>
              </w:rPr>
              <w:t xml:space="preserve"> </w:t>
            </w:r>
            <w:r w:rsidRPr="00B7395D">
              <w:rPr>
                <w:rFonts w:ascii="Verdana" w:hAnsi="Verdana" w:cs="Arial"/>
                <w:b/>
                <w:color w:val="009966"/>
                <w:sz w:val="28"/>
                <w:szCs w:val="28"/>
                <w:lang w:val="en-GB"/>
              </w:rPr>
              <w:t>NHS Outcomes Framework Domains &amp; Indicators</w:t>
            </w:r>
          </w:p>
          <w:p w14:paraId="1AB57B7D" w14:textId="77777777" w:rsidR="00194D0B" w:rsidRPr="00B7395D" w:rsidRDefault="001C5A9B" w:rsidP="001C5A9B">
            <w:pPr>
              <w:rPr>
                <w:rFonts w:ascii="Verdana" w:hAnsi="Verdana" w:cs="Arial"/>
                <w:color w:val="000000" w:themeColor="text1"/>
                <w:szCs w:val="22"/>
                <w:lang w:val="en-GB"/>
              </w:rPr>
            </w:pPr>
            <w:r w:rsidRPr="00B7395D">
              <w:rPr>
                <w:rFonts w:ascii="Verdana" w:hAnsi="Verdana"/>
                <w:sz w:val="22"/>
                <w:szCs w:val="22"/>
                <w:lang w:val="en-GB"/>
              </w:rPr>
              <w:t xml:space="preserve">This section sets out the indicators in each of the outcomes frameworks (England only) to which </w:t>
            </w:r>
            <w:r w:rsidR="00794DF7">
              <w:rPr>
                <w:rFonts w:ascii="Verdana" w:hAnsi="Verdana"/>
                <w:sz w:val="22"/>
                <w:szCs w:val="22"/>
                <w:lang w:val="en-GB"/>
              </w:rPr>
              <w:t>an FLS</w:t>
            </w:r>
            <w:r w:rsidRPr="00B7395D">
              <w:rPr>
                <w:rFonts w:ascii="Verdana" w:hAnsi="Verdana"/>
                <w:sz w:val="22"/>
                <w:szCs w:val="22"/>
                <w:lang w:val="en-GB"/>
              </w:rPr>
              <w:t xml:space="preserve"> will contribute to the achievement.</w:t>
            </w:r>
            <w:r w:rsidRPr="00B7395D">
              <w:rPr>
                <w:rFonts w:ascii="Verdana" w:hAnsi="Verdana" w:cs="Arial"/>
                <w:color w:val="000000" w:themeColor="text1"/>
                <w:sz w:val="22"/>
                <w:szCs w:val="22"/>
                <w:lang w:val="en-GB"/>
              </w:rPr>
              <w:t xml:space="preserve"> </w:t>
            </w:r>
          </w:p>
          <w:p w14:paraId="3F4F211C" w14:textId="33120514" w:rsidR="001C5A9B" w:rsidRPr="00B7395D" w:rsidRDefault="00794DF7" w:rsidP="001C5A9B">
            <w:pPr>
              <w:spacing w:after="120"/>
              <w:rPr>
                <w:rFonts w:ascii="Verdana" w:hAnsi="Verdana" w:cstheme="minorHAnsi"/>
                <w:szCs w:val="22"/>
                <w:lang w:val="en-GB"/>
              </w:rPr>
            </w:pPr>
            <w:r>
              <w:rPr>
                <w:rFonts w:ascii="Verdana" w:hAnsi="Verdana" w:cstheme="minorHAnsi"/>
                <w:b/>
                <w:sz w:val="22"/>
                <w:szCs w:val="22"/>
                <w:lang w:val="en-GB"/>
              </w:rPr>
              <w:t>NHS Outcomes Framework 201</w:t>
            </w:r>
            <w:r w:rsidR="00E677E2">
              <w:rPr>
                <w:rFonts w:ascii="Verdana" w:hAnsi="Verdana" w:cstheme="minorHAnsi"/>
                <w:b/>
                <w:sz w:val="22"/>
                <w:szCs w:val="22"/>
                <w:lang w:val="en-GB"/>
              </w:rPr>
              <w:t>5</w:t>
            </w:r>
            <w:r>
              <w:rPr>
                <w:rFonts w:ascii="Verdana" w:hAnsi="Verdana" w:cstheme="minorHAnsi"/>
                <w:b/>
                <w:sz w:val="22"/>
                <w:szCs w:val="22"/>
                <w:lang w:val="en-GB"/>
              </w:rPr>
              <w:t>–</w:t>
            </w:r>
            <w:r w:rsidR="001C5A9B" w:rsidRPr="00B7395D">
              <w:rPr>
                <w:rFonts w:ascii="Verdana" w:hAnsi="Verdana" w:cstheme="minorHAnsi"/>
                <w:b/>
                <w:sz w:val="22"/>
                <w:szCs w:val="22"/>
                <w:lang w:val="en-GB"/>
              </w:rPr>
              <w:t>201</w:t>
            </w:r>
            <w:r w:rsidR="00E677E2" w:rsidRPr="00873557">
              <w:rPr>
                <w:rFonts w:ascii="Verdana" w:hAnsi="Verdana" w:cstheme="minorHAnsi"/>
                <w:b/>
                <w:sz w:val="22"/>
                <w:szCs w:val="22"/>
                <w:lang w:val="en-GB"/>
              </w:rPr>
              <w:t>6</w:t>
            </w:r>
            <w:r w:rsidR="001C5A9B" w:rsidRPr="00B7395D">
              <w:rPr>
                <w:rFonts w:ascii="Verdana" w:hAnsi="Verdana" w:cstheme="minorHAnsi"/>
                <w:sz w:val="22"/>
                <w:szCs w:val="22"/>
                <w:lang w:val="en-GB"/>
              </w:rPr>
              <w:br/>
              <w:t xml:space="preserve">DOMAIN 3: Helping people to recover from episodes of ill health or following </w:t>
            </w:r>
            <w:r w:rsidR="001C5A9B" w:rsidRPr="00B7395D">
              <w:rPr>
                <w:rFonts w:ascii="Verdana" w:hAnsi="Verdana" w:cstheme="minorHAnsi"/>
                <w:sz w:val="22"/>
                <w:szCs w:val="22"/>
                <w:lang w:val="en-GB"/>
              </w:rPr>
              <w:lastRenderedPageBreak/>
              <w:t>injury</w:t>
            </w:r>
          </w:p>
          <w:p w14:paraId="59B5F993"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 xml:space="preserve">Improving recovery from fragility fractures </w:t>
            </w:r>
            <w:r w:rsidRPr="00B7395D">
              <w:rPr>
                <w:rFonts w:ascii="Verdana" w:hAnsi="Verdana" w:cstheme="minorHAnsi"/>
                <w:sz w:val="22"/>
                <w:szCs w:val="22"/>
                <w:lang w:val="en-GB"/>
              </w:rPr>
              <w:br/>
            </w:r>
            <w:r w:rsidRPr="00B7395D">
              <w:rPr>
                <w:rFonts w:ascii="Verdana" w:hAnsi="Verdana" w:cstheme="minorHAnsi"/>
                <w:i/>
                <w:sz w:val="22"/>
                <w:szCs w:val="22"/>
                <w:lang w:val="en-GB"/>
              </w:rPr>
              <w:t>3.5 Proportion of patients recovering to their previous levels of mobility/walking ability at i</w:t>
            </w:r>
            <w:r w:rsidR="00794DF7">
              <w:rPr>
                <w:rFonts w:ascii="Verdana" w:hAnsi="Verdana" w:cstheme="minorHAnsi"/>
                <w:i/>
                <w:sz w:val="22"/>
                <w:szCs w:val="22"/>
                <w:lang w:val="en-GB"/>
              </w:rPr>
              <w:t xml:space="preserve">) </w:t>
            </w:r>
            <w:r w:rsidRPr="00B7395D">
              <w:rPr>
                <w:rFonts w:ascii="Verdana" w:hAnsi="Verdana" w:cstheme="minorHAnsi"/>
                <w:i/>
                <w:sz w:val="22"/>
                <w:szCs w:val="22"/>
                <w:lang w:val="en-GB"/>
              </w:rPr>
              <w:t>30 and ii</w:t>
            </w:r>
            <w:r w:rsidR="00794DF7">
              <w:rPr>
                <w:rFonts w:ascii="Verdana" w:hAnsi="Verdana" w:cstheme="minorHAnsi"/>
                <w:i/>
                <w:sz w:val="22"/>
                <w:szCs w:val="22"/>
                <w:lang w:val="en-GB"/>
              </w:rPr>
              <w:t>)</w:t>
            </w:r>
            <w:r w:rsidRPr="00B7395D">
              <w:rPr>
                <w:rFonts w:ascii="Verdana" w:hAnsi="Verdana" w:cstheme="minorHAnsi"/>
                <w:i/>
                <w:sz w:val="22"/>
                <w:szCs w:val="22"/>
                <w:lang w:val="en-GB"/>
              </w:rPr>
              <w:t xml:space="preserve"> 120 days</w:t>
            </w:r>
          </w:p>
          <w:p w14:paraId="35346467" w14:textId="77777777" w:rsidR="001C5A9B" w:rsidRPr="00B7395D" w:rsidRDefault="001C5A9B" w:rsidP="001C5A9B">
            <w:pPr>
              <w:spacing w:after="120"/>
              <w:rPr>
                <w:rFonts w:ascii="Verdana" w:hAnsi="Verdana" w:cstheme="minorHAnsi"/>
                <w:szCs w:val="22"/>
                <w:lang w:val="en-GB"/>
              </w:rPr>
            </w:pPr>
          </w:p>
          <w:p w14:paraId="35FCA1C1" w14:textId="6819CAEF" w:rsidR="001C5A9B" w:rsidRPr="00B7395D" w:rsidRDefault="001C5A9B" w:rsidP="001C5A9B">
            <w:pPr>
              <w:spacing w:after="120"/>
              <w:rPr>
                <w:rFonts w:ascii="Verdana" w:hAnsi="Verdana" w:cstheme="minorHAnsi"/>
                <w:b/>
                <w:szCs w:val="22"/>
                <w:shd w:val="clear" w:color="auto" w:fill="001EBD"/>
                <w:lang w:val="en-GB"/>
              </w:rPr>
            </w:pPr>
            <w:r w:rsidRPr="00B7395D">
              <w:rPr>
                <w:rFonts w:ascii="Verdana" w:hAnsi="Verdana" w:cstheme="minorHAnsi"/>
                <w:b/>
                <w:sz w:val="22"/>
                <w:szCs w:val="22"/>
                <w:lang w:val="en-GB"/>
              </w:rPr>
              <w:t>CC</w:t>
            </w:r>
            <w:r w:rsidR="00794DF7">
              <w:rPr>
                <w:rFonts w:ascii="Verdana" w:hAnsi="Verdana" w:cstheme="minorHAnsi"/>
                <w:b/>
                <w:sz w:val="22"/>
                <w:szCs w:val="22"/>
                <w:lang w:val="en-GB"/>
              </w:rPr>
              <w:t>G Outcomes Indicator Set 201</w:t>
            </w:r>
            <w:r w:rsidR="006065E7">
              <w:rPr>
                <w:rFonts w:ascii="Verdana" w:hAnsi="Verdana" w:cstheme="minorHAnsi"/>
                <w:b/>
                <w:sz w:val="22"/>
                <w:szCs w:val="22"/>
                <w:lang w:val="en-GB"/>
              </w:rPr>
              <w:t>5</w:t>
            </w:r>
            <w:r w:rsidR="00794DF7">
              <w:rPr>
                <w:rFonts w:ascii="Verdana" w:hAnsi="Verdana" w:cstheme="minorHAnsi"/>
                <w:b/>
                <w:sz w:val="22"/>
                <w:szCs w:val="22"/>
                <w:lang w:val="en-GB"/>
              </w:rPr>
              <w:t>–</w:t>
            </w:r>
            <w:r w:rsidRPr="00B7395D">
              <w:rPr>
                <w:rFonts w:ascii="Verdana" w:hAnsi="Verdana" w:cstheme="minorHAnsi"/>
                <w:b/>
                <w:sz w:val="22"/>
                <w:szCs w:val="22"/>
                <w:lang w:val="en-GB"/>
              </w:rPr>
              <w:t>201</w:t>
            </w:r>
            <w:r w:rsidR="006065E7">
              <w:rPr>
                <w:rFonts w:ascii="Verdana" w:hAnsi="Verdana" w:cstheme="minorHAnsi"/>
                <w:b/>
                <w:sz w:val="22"/>
                <w:szCs w:val="22"/>
                <w:lang w:val="en-GB"/>
              </w:rPr>
              <w:t>6</w:t>
            </w:r>
          </w:p>
          <w:p w14:paraId="37D636E4"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DOMAIN 1: Preventing people from dying prematurely</w:t>
            </w:r>
          </w:p>
          <w:p w14:paraId="30049123"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Reducing premature death from fragility fractures – Hip fracture incidence</w:t>
            </w:r>
            <w:r w:rsidRPr="00B7395D">
              <w:rPr>
                <w:rFonts w:ascii="Verdana" w:hAnsi="Verdana" w:cstheme="minorHAnsi"/>
                <w:sz w:val="22"/>
                <w:szCs w:val="22"/>
                <w:lang w:val="en-GB"/>
              </w:rPr>
              <w:br/>
            </w:r>
            <w:r w:rsidRPr="00B7395D">
              <w:rPr>
                <w:rFonts w:ascii="Verdana" w:hAnsi="Verdana" w:cstheme="minorHAnsi"/>
                <w:i/>
                <w:sz w:val="22"/>
                <w:szCs w:val="22"/>
                <w:lang w:val="en-GB"/>
              </w:rPr>
              <w:t>1.22 The rate of people admitted with a primary diagnosis of hip fracture per 100,000 CCG population</w:t>
            </w:r>
          </w:p>
          <w:p w14:paraId="3A40AA0E"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DOMAIN 3: Helping people to recover from episodes of ill health or following injury</w:t>
            </w:r>
          </w:p>
          <w:p w14:paraId="5DC8B9B8"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 xml:space="preserve">Improving recovery from fragility fractures </w:t>
            </w:r>
            <w:r w:rsidRPr="00B7395D">
              <w:rPr>
                <w:rFonts w:ascii="Verdana" w:hAnsi="Verdana" w:cstheme="minorHAnsi"/>
                <w:sz w:val="22"/>
                <w:szCs w:val="22"/>
                <w:lang w:val="en-GB"/>
              </w:rPr>
              <w:br/>
            </w:r>
            <w:r w:rsidRPr="00B7395D">
              <w:rPr>
                <w:rFonts w:ascii="Verdana" w:hAnsi="Verdana" w:cstheme="minorHAnsi"/>
                <w:i/>
                <w:sz w:val="22"/>
                <w:szCs w:val="22"/>
                <w:lang w:val="en-GB"/>
              </w:rPr>
              <w:t>3.10 Proportion of patients recovering to their previous levels of mobility/walking ability at i</w:t>
            </w:r>
            <w:r w:rsidR="00794DF7">
              <w:rPr>
                <w:rFonts w:ascii="Verdana" w:hAnsi="Verdana" w:cstheme="minorHAnsi"/>
                <w:i/>
                <w:sz w:val="22"/>
                <w:szCs w:val="22"/>
                <w:lang w:val="en-GB"/>
              </w:rPr>
              <w:t>)</w:t>
            </w:r>
            <w:r w:rsidRPr="00B7395D">
              <w:rPr>
                <w:rFonts w:ascii="Verdana" w:hAnsi="Verdana" w:cstheme="minorHAnsi"/>
                <w:i/>
                <w:sz w:val="22"/>
                <w:szCs w:val="22"/>
                <w:lang w:val="en-GB"/>
              </w:rPr>
              <w:t xml:space="preserve"> 30 and ii</w:t>
            </w:r>
            <w:r w:rsidR="00794DF7">
              <w:rPr>
                <w:rFonts w:ascii="Verdana" w:hAnsi="Verdana" w:cstheme="minorHAnsi"/>
                <w:i/>
                <w:sz w:val="22"/>
                <w:szCs w:val="22"/>
                <w:lang w:val="en-GB"/>
              </w:rPr>
              <w:t>)</w:t>
            </w:r>
            <w:r w:rsidRPr="00B7395D">
              <w:rPr>
                <w:rFonts w:ascii="Verdana" w:hAnsi="Verdana" w:cstheme="minorHAnsi"/>
                <w:i/>
                <w:sz w:val="22"/>
                <w:szCs w:val="22"/>
                <w:lang w:val="en-GB"/>
              </w:rPr>
              <w:t xml:space="preserve"> 120 days *also NHS OF indicators 3.5i</w:t>
            </w:r>
            <w:r w:rsidR="00794DF7">
              <w:rPr>
                <w:rFonts w:ascii="Verdana" w:hAnsi="Verdana" w:cstheme="minorHAnsi"/>
                <w:i/>
                <w:sz w:val="22"/>
                <w:szCs w:val="22"/>
                <w:lang w:val="en-GB"/>
              </w:rPr>
              <w:t>)</w:t>
            </w:r>
            <w:r w:rsidRPr="00B7395D">
              <w:rPr>
                <w:rFonts w:ascii="Verdana" w:hAnsi="Verdana" w:cstheme="minorHAnsi"/>
                <w:i/>
                <w:sz w:val="22"/>
                <w:szCs w:val="22"/>
                <w:lang w:val="en-GB"/>
              </w:rPr>
              <w:t xml:space="preserve"> and 3.5ii</w:t>
            </w:r>
            <w:r w:rsidR="00794DF7">
              <w:rPr>
                <w:rFonts w:ascii="Verdana" w:hAnsi="Verdana" w:cstheme="minorHAnsi"/>
                <w:i/>
                <w:sz w:val="22"/>
                <w:szCs w:val="22"/>
                <w:lang w:val="en-GB"/>
              </w:rPr>
              <w:t>)</w:t>
            </w:r>
          </w:p>
          <w:p w14:paraId="7889B17D"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Improving recovery from fragility fractures – Hip fracture: formal hip fracture programme</w:t>
            </w:r>
            <w:r w:rsidRPr="00B7395D">
              <w:rPr>
                <w:rFonts w:ascii="Verdana" w:hAnsi="Verdana" w:cstheme="minorHAnsi"/>
                <w:sz w:val="22"/>
                <w:szCs w:val="22"/>
                <w:lang w:val="en-GB"/>
              </w:rPr>
              <w:br/>
            </w:r>
            <w:r w:rsidRPr="00B7395D">
              <w:rPr>
                <w:rFonts w:ascii="Verdana" w:hAnsi="Verdana" w:cstheme="minorHAnsi"/>
                <w:i/>
                <w:sz w:val="22"/>
                <w:szCs w:val="22"/>
                <w:lang w:val="en-GB"/>
              </w:rPr>
              <w:t>3.11 Of people with hip fracture, the proportion who receive a formal Hip Fracture Programme from admission evidenced as having a joint acute care protocol at admission, and evidence of multidisciplinary team (MDT) rehabilitation agreed with a responsible orthogeriatrician and orthopaedic surgeon, with General Medical Council (GMC) numbers recorded</w:t>
            </w:r>
          </w:p>
          <w:p w14:paraId="556B0CF5"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Improving recovery from fragility fractures – Hip fracture: timely surgery</w:t>
            </w:r>
            <w:r w:rsidRPr="00B7395D">
              <w:rPr>
                <w:rFonts w:ascii="Verdana" w:hAnsi="Verdana" w:cstheme="minorHAnsi"/>
                <w:sz w:val="22"/>
                <w:szCs w:val="22"/>
                <w:lang w:val="en-GB"/>
              </w:rPr>
              <w:br/>
            </w:r>
            <w:r w:rsidRPr="00B7395D">
              <w:rPr>
                <w:rFonts w:ascii="Verdana" w:hAnsi="Verdana" w:cstheme="minorHAnsi"/>
                <w:i/>
                <w:sz w:val="22"/>
                <w:szCs w:val="22"/>
                <w:lang w:val="en-GB"/>
              </w:rPr>
              <w:t>3.12 Of people with hip fracture, the proportion who receive surgery on the day of, or the day after, admission</w:t>
            </w:r>
          </w:p>
          <w:p w14:paraId="06DCF949" w14:textId="408B0FCF" w:rsidR="001C5A9B" w:rsidRPr="00B7395D" w:rsidRDefault="001C5A9B" w:rsidP="001C5A9B">
            <w:pPr>
              <w:spacing w:after="120"/>
              <w:rPr>
                <w:rFonts w:ascii="Verdana" w:hAnsi="Verdana" w:cstheme="minorHAnsi"/>
                <w:i/>
                <w:szCs w:val="22"/>
                <w:lang w:val="en-GB"/>
              </w:rPr>
            </w:pPr>
            <w:r w:rsidRPr="00B7395D">
              <w:rPr>
                <w:rFonts w:ascii="Verdana" w:hAnsi="Verdana" w:cstheme="minorHAnsi"/>
                <w:sz w:val="22"/>
                <w:szCs w:val="22"/>
                <w:lang w:val="en-GB"/>
              </w:rPr>
              <w:t>Improving recovery from fragility fractures – Hip fracture: multifactorial risk assessment</w:t>
            </w:r>
            <w:r w:rsidRPr="00B7395D">
              <w:rPr>
                <w:rFonts w:ascii="Verdana" w:hAnsi="Verdana" w:cstheme="minorHAnsi"/>
                <w:sz w:val="22"/>
                <w:szCs w:val="22"/>
                <w:lang w:val="en-GB"/>
              </w:rPr>
              <w:br/>
            </w:r>
            <w:r w:rsidRPr="00B7395D">
              <w:rPr>
                <w:rFonts w:ascii="Verdana" w:hAnsi="Verdana" w:cstheme="minorHAnsi"/>
                <w:i/>
                <w:sz w:val="22"/>
                <w:szCs w:val="22"/>
                <w:lang w:val="en-GB"/>
              </w:rPr>
              <w:t xml:space="preserve">3.13 Of people with hip fracture, the proportion who receive a multifactorial risk assessment of future falls risk, led by the Hip Fracture </w:t>
            </w:r>
            <w:r w:rsidR="0033428C">
              <w:rPr>
                <w:rFonts w:ascii="Verdana" w:hAnsi="Verdana" w:cstheme="minorHAnsi"/>
                <w:i/>
                <w:sz w:val="22"/>
                <w:szCs w:val="22"/>
                <w:lang w:val="en-GB"/>
              </w:rPr>
              <w:t>P</w:t>
            </w:r>
            <w:r w:rsidR="0033428C" w:rsidRPr="00B7395D">
              <w:rPr>
                <w:rFonts w:ascii="Verdana" w:hAnsi="Verdana" w:cstheme="minorHAnsi"/>
                <w:i/>
                <w:sz w:val="22"/>
                <w:szCs w:val="22"/>
                <w:lang w:val="en-GB"/>
              </w:rPr>
              <w:t xml:space="preserve">rogramme </w:t>
            </w:r>
            <w:r w:rsidRPr="00B7395D">
              <w:rPr>
                <w:rFonts w:ascii="Verdana" w:hAnsi="Verdana" w:cstheme="minorHAnsi"/>
                <w:i/>
                <w:sz w:val="22"/>
                <w:szCs w:val="22"/>
                <w:lang w:val="en-GB"/>
              </w:rPr>
              <w:t>team evidenced by GMC number of responsible clinician</w:t>
            </w:r>
          </w:p>
          <w:p w14:paraId="665416AC" w14:textId="77777777" w:rsidR="001C5A9B" w:rsidRPr="00B7395D" w:rsidRDefault="001C5A9B" w:rsidP="001C5A9B">
            <w:pPr>
              <w:spacing w:after="120"/>
              <w:rPr>
                <w:rFonts w:ascii="Verdana" w:hAnsi="Verdana" w:cstheme="minorHAnsi"/>
                <w:szCs w:val="22"/>
                <w:lang w:val="en-GB"/>
              </w:rPr>
            </w:pPr>
          </w:p>
          <w:p w14:paraId="42F6A451" w14:textId="77777777" w:rsidR="001C5A9B" w:rsidRPr="00B7395D" w:rsidRDefault="001C5A9B" w:rsidP="001C5A9B">
            <w:pPr>
              <w:spacing w:after="120"/>
              <w:rPr>
                <w:rFonts w:ascii="Verdana" w:hAnsi="Verdana" w:cstheme="minorHAnsi"/>
                <w:b/>
                <w:szCs w:val="22"/>
                <w:lang w:val="en-GB"/>
              </w:rPr>
            </w:pPr>
            <w:r w:rsidRPr="00B7395D">
              <w:rPr>
                <w:rFonts w:ascii="Verdana" w:hAnsi="Verdana" w:cstheme="minorHAnsi"/>
                <w:b/>
                <w:sz w:val="22"/>
                <w:szCs w:val="22"/>
                <w:lang w:val="en-GB"/>
              </w:rPr>
              <w:t>Public H</w:t>
            </w:r>
            <w:r w:rsidR="00794DF7">
              <w:rPr>
                <w:rFonts w:ascii="Verdana" w:hAnsi="Verdana" w:cstheme="minorHAnsi"/>
                <w:b/>
                <w:sz w:val="22"/>
                <w:szCs w:val="22"/>
                <w:lang w:val="en-GB"/>
              </w:rPr>
              <w:t>ealth Outcomes Framework 2013–</w:t>
            </w:r>
            <w:r w:rsidRPr="00B7395D">
              <w:rPr>
                <w:rFonts w:ascii="Verdana" w:hAnsi="Verdana" w:cstheme="minorHAnsi"/>
                <w:b/>
                <w:sz w:val="22"/>
                <w:szCs w:val="22"/>
                <w:lang w:val="en-GB"/>
              </w:rPr>
              <w:t xml:space="preserve">2016 </w:t>
            </w:r>
          </w:p>
          <w:p w14:paraId="0B0A9D7B" w14:textId="77777777" w:rsidR="001C5A9B" w:rsidRPr="00B7395D" w:rsidRDefault="001C5A9B" w:rsidP="001C5A9B">
            <w:pPr>
              <w:spacing w:after="120"/>
              <w:rPr>
                <w:rFonts w:ascii="Verdana" w:hAnsi="Verdana" w:cstheme="minorHAnsi"/>
                <w:szCs w:val="22"/>
                <w:lang w:val="en-GB"/>
              </w:rPr>
            </w:pPr>
            <w:r w:rsidRPr="00B7395D">
              <w:rPr>
                <w:rFonts w:ascii="Verdana" w:hAnsi="Verdana" w:cstheme="minorHAnsi"/>
                <w:sz w:val="22"/>
                <w:szCs w:val="22"/>
                <w:lang w:val="en-GB"/>
              </w:rPr>
              <w:t>DOMAIN 2: Health Improvement</w:t>
            </w:r>
            <w:r w:rsidRPr="00B7395D">
              <w:rPr>
                <w:rFonts w:ascii="Verdana" w:hAnsi="Verdana" w:cstheme="minorHAnsi"/>
                <w:sz w:val="22"/>
                <w:szCs w:val="22"/>
                <w:lang w:val="en-GB"/>
              </w:rPr>
              <w:br/>
              <w:t>People are helped to live healthy lifestyles, make healthy choices and reduce health inequalities</w:t>
            </w:r>
          </w:p>
          <w:p w14:paraId="31483A4C" w14:textId="77777777" w:rsidR="001C5A9B" w:rsidRPr="00B7395D" w:rsidRDefault="001C5A9B" w:rsidP="001C5A9B">
            <w:pPr>
              <w:spacing w:after="120"/>
              <w:rPr>
                <w:rFonts w:ascii="Verdana" w:hAnsi="Verdana" w:cstheme="minorHAnsi"/>
                <w:szCs w:val="22"/>
              </w:rPr>
            </w:pPr>
            <w:r w:rsidRPr="00B7395D">
              <w:rPr>
                <w:rFonts w:ascii="Verdana" w:hAnsi="Verdana" w:cstheme="minorHAnsi"/>
                <w:sz w:val="22"/>
                <w:szCs w:val="22"/>
                <w:lang w:val="en-GB"/>
              </w:rPr>
              <w:t>Injuries due to falls in people aged 65 and over</w:t>
            </w:r>
            <w:r w:rsidRPr="00B7395D">
              <w:rPr>
                <w:rFonts w:ascii="Verdana" w:hAnsi="Verdana" w:cstheme="minorHAnsi"/>
                <w:sz w:val="22"/>
                <w:szCs w:val="22"/>
                <w:lang w:val="en-GB"/>
              </w:rPr>
              <w:br/>
            </w:r>
            <w:r w:rsidRPr="00B7395D">
              <w:rPr>
                <w:rFonts w:ascii="Verdana" w:hAnsi="Verdana" w:cstheme="minorHAnsi"/>
                <w:bCs/>
                <w:i/>
                <w:sz w:val="22"/>
                <w:szCs w:val="22"/>
                <w:lang w:val="en-GB"/>
              </w:rPr>
              <w:t>2.24i</w:t>
            </w:r>
            <w:r w:rsidR="00794DF7">
              <w:rPr>
                <w:rFonts w:ascii="Verdana" w:hAnsi="Verdana" w:cstheme="minorHAnsi"/>
                <w:bCs/>
                <w:i/>
                <w:sz w:val="22"/>
                <w:szCs w:val="22"/>
                <w:lang w:val="en-GB"/>
              </w:rPr>
              <w:t>)</w:t>
            </w:r>
            <w:r w:rsidRPr="00B7395D">
              <w:rPr>
                <w:rFonts w:ascii="Verdana" w:hAnsi="Verdana" w:cstheme="minorHAnsi"/>
                <w:bCs/>
                <w:i/>
                <w:sz w:val="22"/>
                <w:szCs w:val="22"/>
                <w:lang w:val="en-GB"/>
              </w:rPr>
              <w:t xml:space="preserve"> Age-sex standardised rate of emergency hospital admissions for injuries due to falls in persons aged 65 and over per 100,000 population.  [2.24ii</w:t>
            </w:r>
            <w:r w:rsidR="00794DF7">
              <w:rPr>
                <w:rFonts w:ascii="Verdana" w:hAnsi="Verdana" w:cstheme="minorHAnsi"/>
                <w:bCs/>
                <w:i/>
                <w:sz w:val="22"/>
                <w:szCs w:val="22"/>
                <w:lang w:val="en-GB"/>
              </w:rPr>
              <w:t>)</w:t>
            </w:r>
            <w:r w:rsidRPr="00B7395D">
              <w:rPr>
                <w:rFonts w:ascii="Verdana" w:hAnsi="Verdana" w:cstheme="minorHAnsi"/>
                <w:bCs/>
                <w:i/>
                <w:sz w:val="22"/>
                <w:szCs w:val="22"/>
                <w:lang w:val="en-GB"/>
              </w:rPr>
              <w:t xml:space="preserve"> and 2.24iii</w:t>
            </w:r>
            <w:r w:rsidR="00794DF7">
              <w:rPr>
                <w:rFonts w:ascii="Verdana" w:hAnsi="Verdana" w:cstheme="minorHAnsi"/>
                <w:bCs/>
                <w:i/>
                <w:sz w:val="22"/>
                <w:szCs w:val="22"/>
                <w:lang w:val="en-GB"/>
              </w:rPr>
              <w:t>)</w:t>
            </w:r>
            <w:r w:rsidRPr="00B7395D">
              <w:rPr>
                <w:rFonts w:ascii="Verdana" w:hAnsi="Verdana" w:cstheme="minorHAnsi"/>
                <w:bCs/>
                <w:i/>
                <w:sz w:val="22"/>
                <w:szCs w:val="22"/>
                <w:lang w:val="en-GB"/>
              </w:rPr>
              <w:t xml:space="preserve"> break this down into age groups 65-79 and 80+]</w:t>
            </w:r>
            <w:r w:rsidRPr="00B7395D">
              <w:rPr>
                <w:rFonts w:ascii="Verdana" w:hAnsi="Verdana" w:cstheme="minorHAnsi"/>
                <w:bCs/>
                <w:i/>
                <w:sz w:val="22"/>
                <w:szCs w:val="22"/>
              </w:rPr>
              <w:br/>
            </w:r>
          </w:p>
          <w:p w14:paraId="3AF13B71" w14:textId="77777777" w:rsidR="00075A83" w:rsidRPr="00B7395D" w:rsidRDefault="00075A83" w:rsidP="006F4DE1">
            <w:pPr>
              <w:spacing w:before="120" w:after="120"/>
              <w:rPr>
                <w:rFonts w:ascii="Verdana" w:hAnsi="Verdana" w:cs="Arial"/>
                <w:b/>
                <w:color w:val="009966"/>
                <w:sz w:val="28"/>
                <w:szCs w:val="28"/>
                <w:lang w:val="en-GB"/>
              </w:rPr>
            </w:pPr>
            <w:r w:rsidRPr="00B7395D">
              <w:rPr>
                <w:rFonts w:ascii="Verdana" w:hAnsi="Verdana" w:cs="Arial"/>
                <w:b/>
                <w:color w:val="00B050"/>
                <w:sz w:val="28"/>
                <w:szCs w:val="28"/>
                <w:lang w:val="en-GB"/>
              </w:rPr>
              <w:t>2.2</w:t>
            </w:r>
            <w:r w:rsidR="000B2192" w:rsidRPr="00B7395D">
              <w:rPr>
                <w:rFonts w:ascii="Verdana" w:hAnsi="Verdana" w:cs="Arial"/>
                <w:b/>
                <w:color w:val="00B050"/>
                <w:sz w:val="28"/>
                <w:szCs w:val="28"/>
                <w:lang w:val="en-GB"/>
              </w:rPr>
              <w:t xml:space="preserve"> </w:t>
            </w:r>
            <w:r w:rsidRPr="00B7395D">
              <w:rPr>
                <w:rFonts w:ascii="Verdana" w:hAnsi="Verdana" w:cs="Arial"/>
                <w:b/>
                <w:color w:val="009966"/>
                <w:sz w:val="28"/>
                <w:szCs w:val="28"/>
                <w:lang w:val="en-GB"/>
              </w:rPr>
              <w:t>Local</w:t>
            </w:r>
            <w:r w:rsidR="00051C41" w:rsidRPr="00B7395D">
              <w:rPr>
                <w:rFonts w:ascii="Verdana" w:hAnsi="Verdana" w:cs="Arial"/>
                <w:b/>
                <w:color w:val="009966"/>
                <w:sz w:val="28"/>
                <w:szCs w:val="28"/>
                <w:lang w:val="en-GB"/>
              </w:rPr>
              <w:t>ly</w:t>
            </w:r>
            <w:r w:rsidRPr="00B7395D">
              <w:rPr>
                <w:rFonts w:ascii="Verdana" w:hAnsi="Verdana" w:cs="Arial"/>
                <w:b/>
                <w:color w:val="009966"/>
                <w:sz w:val="28"/>
                <w:szCs w:val="28"/>
                <w:lang w:val="en-GB"/>
              </w:rPr>
              <w:t xml:space="preserve"> defined outcomes</w:t>
            </w:r>
          </w:p>
          <w:p w14:paraId="538242FA" w14:textId="77777777" w:rsidR="008F4272" w:rsidRPr="00B7395D" w:rsidRDefault="008F4272" w:rsidP="000B2192">
            <w:pPr>
              <w:pStyle w:val="BodyTextIndent"/>
              <w:ind w:left="357"/>
              <w:jc w:val="both"/>
              <w:rPr>
                <w:rFonts w:ascii="Verdana" w:hAnsi="Verdana" w:cs="Arial"/>
                <w:szCs w:val="22"/>
              </w:rPr>
            </w:pPr>
            <w:r w:rsidRPr="00B7395D">
              <w:rPr>
                <w:rFonts w:ascii="Verdana" w:hAnsi="Verdana" w:cs="Arial"/>
                <w:sz w:val="22"/>
                <w:szCs w:val="22"/>
              </w:rPr>
              <w:t>Early intervention for fragility fractures result</w:t>
            </w:r>
            <w:r w:rsidR="0026228C" w:rsidRPr="00B7395D">
              <w:rPr>
                <w:rFonts w:ascii="Verdana" w:hAnsi="Verdana" w:cs="Arial"/>
                <w:sz w:val="22"/>
                <w:szCs w:val="22"/>
              </w:rPr>
              <w:t>s</w:t>
            </w:r>
            <w:r w:rsidRPr="00B7395D">
              <w:rPr>
                <w:rFonts w:ascii="Verdana" w:hAnsi="Verdana" w:cs="Arial"/>
                <w:sz w:val="22"/>
                <w:szCs w:val="22"/>
              </w:rPr>
              <w:t xml:space="preserve"> in optimisation of clinical care, which will lead to improved outcomes in terms of</w:t>
            </w:r>
            <w:r w:rsidR="00F16A82" w:rsidRPr="00B7395D">
              <w:rPr>
                <w:rFonts w:ascii="Verdana" w:hAnsi="Verdana" w:cs="Arial"/>
                <w:sz w:val="22"/>
                <w:szCs w:val="22"/>
              </w:rPr>
              <w:t>:</w:t>
            </w:r>
          </w:p>
          <w:p w14:paraId="4750645C" w14:textId="77777777" w:rsidR="00E704E1" w:rsidRPr="00B7395D" w:rsidRDefault="008F4272"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Long term reduction in fragility fracture</w:t>
            </w:r>
          </w:p>
          <w:p w14:paraId="7226FAB4" w14:textId="77777777" w:rsidR="00E704E1" w:rsidRPr="00B7395D" w:rsidRDefault="0026228C"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P</w:t>
            </w:r>
            <w:r w:rsidR="008F4272" w:rsidRPr="00B7395D">
              <w:rPr>
                <w:rFonts w:ascii="Verdana" w:hAnsi="Verdana" w:cs="Arial"/>
                <w:color w:val="000000" w:themeColor="text1"/>
                <w:sz w:val="22"/>
                <w:szCs w:val="22"/>
              </w:rPr>
              <w:t xml:space="preserve">revention of </w:t>
            </w:r>
            <w:r w:rsidRPr="00B7395D">
              <w:rPr>
                <w:rFonts w:ascii="Verdana" w:hAnsi="Verdana" w:cs="Arial"/>
                <w:color w:val="000000" w:themeColor="text1"/>
                <w:sz w:val="22"/>
                <w:szCs w:val="22"/>
              </w:rPr>
              <w:t xml:space="preserve">further </w:t>
            </w:r>
            <w:r w:rsidR="008F4272" w:rsidRPr="00B7395D">
              <w:rPr>
                <w:rFonts w:ascii="Verdana" w:hAnsi="Verdana" w:cs="Arial"/>
                <w:color w:val="000000" w:themeColor="text1"/>
                <w:sz w:val="22"/>
                <w:szCs w:val="22"/>
              </w:rPr>
              <w:t xml:space="preserve">falls and </w:t>
            </w:r>
            <w:r w:rsidRPr="00B7395D">
              <w:rPr>
                <w:rFonts w:ascii="Verdana" w:hAnsi="Verdana" w:cs="Arial"/>
                <w:color w:val="000000" w:themeColor="text1"/>
                <w:sz w:val="22"/>
                <w:szCs w:val="22"/>
              </w:rPr>
              <w:t xml:space="preserve">secondary </w:t>
            </w:r>
            <w:r w:rsidR="008F4272" w:rsidRPr="00B7395D">
              <w:rPr>
                <w:rFonts w:ascii="Verdana" w:hAnsi="Verdana" w:cs="Arial"/>
                <w:color w:val="000000" w:themeColor="text1"/>
                <w:sz w:val="22"/>
                <w:szCs w:val="22"/>
              </w:rPr>
              <w:t>fractures</w:t>
            </w:r>
          </w:p>
          <w:p w14:paraId="5C6CD110" w14:textId="77777777" w:rsidR="00E704E1" w:rsidRPr="00B7395D" w:rsidRDefault="00F16A82"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Improved adherence to prescribed medication</w:t>
            </w:r>
          </w:p>
          <w:p w14:paraId="559D2E73" w14:textId="77777777" w:rsidR="00E704E1" w:rsidRPr="00B7395D" w:rsidRDefault="008F4272"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Improved quality of life</w:t>
            </w:r>
          </w:p>
          <w:p w14:paraId="0A0BD13D" w14:textId="77777777" w:rsidR="00E704E1" w:rsidRPr="00B7395D" w:rsidRDefault="00794DF7" w:rsidP="006F4DE1">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Improved health and</w:t>
            </w:r>
            <w:r w:rsidR="008F4272" w:rsidRPr="00B7395D">
              <w:rPr>
                <w:rFonts w:ascii="Verdana" w:hAnsi="Verdana" w:cs="Arial"/>
                <w:color w:val="000000" w:themeColor="text1"/>
                <w:sz w:val="22"/>
                <w:szCs w:val="22"/>
              </w:rPr>
              <w:t xml:space="preserve"> well</w:t>
            </w:r>
            <w:r w:rsidR="006F4DE1" w:rsidRPr="00B7395D">
              <w:rPr>
                <w:rFonts w:ascii="Verdana" w:hAnsi="Verdana" w:cs="Arial"/>
                <w:color w:val="000000" w:themeColor="text1"/>
                <w:sz w:val="22"/>
                <w:szCs w:val="22"/>
              </w:rPr>
              <w:t>-</w:t>
            </w:r>
            <w:r w:rsidR="008F4272" w:rsidRPr="00B7395D">
              <w:rPr>
                <w:rFonts w:ascii="Verdana" w:hAnsi="Verdana" w:cs="Arial"/>
                <w:color w:val="000000" w:themeColor="text1"/>
                <w:sz w:val="22"/>
                <w:szCs w:val="22"/>
              </w:rPr>
              <w:t>being</w:t>
            </w:r>
          </w:p>
          <w:p w14:paraId="0266D460" w14:textId="77777777" w:rsidR="00E704E1" w:rsidRPr="00B7395D" w:rsidRDefault="008F4272"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Referral into falls services to imple</w:t>
            </w:r>
            <w:r w:rsidR="00794DF7">
              <w:rPr>
                <w:rFonts w:ascii="Verdana" w:hAnsi="Verdana" w:cs="Arial"/>
                <w:color w:val="000000" w:themeColor="text1"/>
                <w:sz w:val="22"/>
                <w:szCs w:val="22"/>
              </w:rPr>
              <w:t>ment interventions around falls</w:t>
            </w:r>
          </w:p>
          <w:p w14:paraId="3DEE17BB" w14:textId="77777777" w:rsidR="00E704E1" w:rsidRPr="00B7395D" w:rsidRDefault="008F4272"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Reduction in mortality rate</w:t>
            </w:r>
          </w:p>
          <w:p w14:paraId="721124E5" w14:textId="77777777" w:rsidR="00E704E1" w:rsidRPr="00B7395D" w:rsidRDefault="00051C41"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Decrease in delay</w:t>
            </w:r>
            <w:r w:rsidR="006F4DE1" w:rsidRPr="00B7395D">
              <w:rPr>
                <w:rFonts w:ascii="Verdana" w:hAnsi="Verdana" w:cs="Arial"/>
                <w:color w:val="000000" w:themeColor="text1"/>
                <w:sz w:val="22"/>
                <w:szCs w:val="22"/>
              </w:rPr>
              <w:t xml:space="preserve"> in assessments for bone health</w:t>
            </w:r>
          </w:p>
          <w:p w14:paraId="16C14C5F" w14:textId="77777777" w:rsidR="00C51FC2" w:rsidRPr="00B7395D" w:rsidRDefault="00051C41" w:rsidP="006F4DE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Appropriate referral for bone de</w:t>
            </w:r>
            <w:r w:rsidR="006F4DE1" w:rsidRPr="00B7395D">
              <w:rPr>
                <w:rFonts w:ascii="Verdana" w:hAnsi="Verdana" w:cs="Arial"/>
                <w:color w:val="000000" w:themeColor="text1"/>
                <w:sz w:val="22"/>
                <w:szCs w:val="22"/>
              </w:rPr>
              <w:t>nsitometry via DXA.</w:t>
            </w:r>
          </w:p>
          <w:p w14:paraId="109B90A3" w14:textId="77777777" w:rsidR="00E458B1" w:rsidRPr="00B7395D" w:rsidRDefault="00794DF7" w:rsidP="006F4DE1">
            <w:pPr>
              <w:spacing w:after="120"/>
              <w:rPr>
                <w:rFonts w:ascii="Verdana" w:eastAsia="Times New Roman" w:hAnsi="Verdana" w:cs="Arial"/>
                <w:b/>
                <w:color w:val="000000" w:themeColor="text1"/>
                <w:szCs w:val="22"/>
                <w:lang w:val="en-GB"/>
              </w:rPr>
            </w:pPr>
            <w:r>
              <w:rPr>
                <w:rFonts w:ascii="Verdana" w:eastAsia="Times New Roman" w:hAnsi="Verdana" w:cs="Arial"/>
                <w:b/>
                <w:color w:val="000000" w:themeColor="text1"/>
                <w:sz w:val="22"/>
                <w:szCs w:val="22"/>
                <w:lang w:val="en-GB"/>
              </w:rPr>
              <w:t>[Edit this list and/</w:t>
            </w:r>
            <w:r w:rsidR="004471CB" w:rsidRPr="00B7395D">
              <w:rPr>
                <w:rFonts w:ascii="Verdana" w:eastAsia="Times New Roman" w:hAnsi="Verdana" w:cs="Arial"/>
                <w:b/>
                <w:color w:val="000000" w:themeColor="text1"/>
                <w:sz w:val="22"/>
                <w:szCs w:val="22"/>
                <w:lang w:val="en-GB"/>
              </w:rPr>
              <w:t>or insert local outcomes]</w:t>
            </w:r>
          </w:p>
        </w:tc>
      </w:tr>
      <w:tr w:rsidR="00075A83" w:rsidRPr="00B7395D" w14:paraId="38970C1D" w14:textId="77777777" w:rsidTr="007D3594">
        <w:trPr>
          <w:trHeight w:val="121"/>
        </w:trPr>
        <w:tc>
          <w:tcPr>
            <w:tcW w:w="8908" w:type="dxa"/>
            <w:shd w:val="clear" w:color="auto" w:fill="595959"/>
          </w:tcPr>
          <w:p w14:paraId="4E1FE4BD" w14:textId="77777777" w:rsidR="00075A83" w:rsidRPr="00B7395D" w:rsidRDefault="0026228C" w:rsidP="0026228C">
            <w:pPr>
              <w:pStyle w:val="Mainheading"/>
              <w:rPr>
                <w:rFonts w:ascii="Verdana" w:hAnsi="Verdana"/>
              </w:rPr>
            </w:pPr>
            <w:r w:rsidRPr="00B7395D">
              <w:rPr>
                <w:rFonts w:ascii="Verdana" w:hAnsi="Verdana"/>
              </w:rPr>
              <w:lastRenderedPageBreak/>
              <w:br w:type="page"/>
            </w:r>
            <w:r w:rsidR="004471CB" w:rsidRPr="00B7395D">
              <w:rPr>
                <w:rFonts w:ascii="Verdana" w:hAnsi="Verdana"/>
              </w:rPr>
              <w:t>3.</w:t>
            </w:r>
            <w:r w:rsidR="004471CB" w:rsidRPr="00B7395D">
              <w:rPr>
                <w:rFonts w:ascii="Verdana" w:hAnsi="Verdana"/>
              </w:rPr>
              <w:tab/>
              <w:t>Scope</w:t>
            </w:r>
          </w:p>
        </w:tc>
      </w:tr>
      <w:tr w:rsidR="00075A83" w:rsidRPr="00B7395D" w14:paraId="2A0E9DC1" w14:textId="77777777" w:rsidTr="007D3594">
        <w:trPr>
          <w:trHeight w:val="121"/>
        </w:trPr>
        <w:tc>
          <w:tcPr>
            <w:tcW w:w="8908" w:type="dxa"/>
            <w:shd w:val="clear" w:color="auto" w:fill="auto"/>
          </w:tcPr>
          <w:p w14:paraId="15B88C21" w14:textId="77777777" w:rsidR="00075A83" w:rsidRPr="00B7395D" w:rsidRDefault="00F95D8E" w:rsidP="006F4DE1">
            <w:pPr>
              <w:spacing w:before="120" w:after="120"/>
              <w:rPr>
                <w:rFonts w:ascii="Verdana" w:hAnsi="Verdana" w:cs="Arial"/>
                <w:b/>
                <w:color w:val="009966"/>
                <w:sz w:val="28"/>
                <w:szCs w:val="28"/>
                <w:lang w:val="en-GB"/>
              </w:rPr>
            </w:pPr>
            <w:r w:rsidRPr="00B7395D">
              <w:rPr>
                <w:rFonts w:ascii="Verdana" w:hAnsi="Verdana" w:cs="Arial"/>
                <w:b/>
                <w:color w:val="009966"/>
                <w:sz w:val="28"/>
                <w:szCs w:val="28"/>
                <w:lang w:val="en-GB"/>
              </w:rPr>
              <w:t xml:space="preserve">3.1 </w:t>
            </w:r>
            <w:r w:rsidR="00075A83" w:rsidRPr="00B7395D">
              <w:rPr>
                <w:rFonts w:ascii="Verdana" w:hAnsi="Verdana" w:cs="Arial"/>
                <w:b/>
                <w:color w:val="009966"/>
                <w:sz w:val="28"/>
                <w:szCs w:val="28"/>
                <w:lang w:val="en-GB"/>
              </w:rPr>
              <w:t>Aims and objectives of service</w:t>
            </w:r>
          </w:p>
          <w:p w14:paraId="63E48E6D" w14:textId="77777777" w:rsidR="00362482" w:rsidRPr="00B7395D" w:rsidRDefault="004471CB" w:rsidP="000B2192">
            <w:pPr>
              <w:spacing w:after="120"/>
              <w:ind w:left="357"/>
              <w:rPr>
                <w:rFonts w:ascii="Verdana" w:hAnsi="Verdana" w:cs="Arial"/>
                <w:color w:val="000000" w:themeColor="text1"/>
                <w:szCs w:val="22"/>
                <w:lang w:val="en-GB"/>
              </w:rPr>
            </w:pPr>
            <w:r w:rsidRPr="00B7395D">
              <w:rPr>
                <w:rFonts w:ascii="Verdana" w:hAnsi="Verdana" w:cs="Arial"/>
                <w:color w:val="000000" w:themeColor="text1"/>
                <w:sz w:val="22"/>
                <w:szCs w:val="22"/>
                <w:lang w:val="en-GB"/>
              </w:rPr>
              <w:t>Th</w:t>
            </w:r>
            <w:r w:rsidR="00F95D8E" w:rsidRPr="00B7395D">
              <w:rPr>
                <w:rFonts w:ascii="Verdana" w:hAnsi="Verdana" w:cs="Arial"/>
                <w:color w:val="000000" w:themeColor="text1"/>
                <w:sz w:val="22"/>
                <w:szCs w:val="22"/>
                <w:lang w:val="en-GB"/>
              </w:rPr>
              <w:t xml:space="preserve">e </w:t>
            </w:r>
            <w:r w:rsidR="00372920" w:rsidRPr="00B7395D">
              <w:rPr>
                <w:rFonts w:ascii="Verdana" w:hAnsi="Verdana" w:cs="Arial"/>
                <w:color w:val="000000" w:themeColor="text1"/>
                <w:sz w:val="22"/>
                <w:szCs w:val="22"/>
                <w:lang w:val="en-GB"/>
              </w:rPr>
              <w:t xml:space="preserve">development of an FLS presents an opportunity to break the fragility fracture cycle through the </w:t>
            </w:r>
            <w:r w:rsidR="00F95D8E" w:rsidRPr="00B7395D">
              <w:rPr>
                <w:rFonts w:ascii="Verdana" w:hAnsi="Verdana" w:cs="Arial"/>
                <w:color w:val="000000" w:themeColor="text1"/>
                <w:sz w:val="22"/>
                <w:szCs w:val="22"/>
                <w:lang w:val="en-GB"/>
              </w:rPr>
              <w:t xml:space="preserve">overall aim of </w:t>
            </w:r>
            <w:r w:rsidR="001D5F97" w:rsidRPr="00B7395D">
              <w:rPr>
                <w:rFonts w:ascii="Verdana" w:hAnsi="Verdana" w:cs="Arial"/>
                <w:color w:val="000000" w:themeColor="text1"/>
                <w:sz w:val="22"/>
                <w:szCs w:val="22"/>
                <w:lang w:val="en-GB"/>
              </w:rPr>
              <w:t>respond</w:t>
            </w:r>
            <w:r w:rsidR="00372920" w:rsidRPr="00B7395D">
              <w:rPr>
                <w:rFonts w:ascii="Verdana" w:hAnsi="Verdana" w:cs="Arial"/>
                <w:color w:val="000000" w:themeColor="text1"/>
                <w:sz w:val="22"/>
                <w:szCs w:val="22"/>
                <w:lang w:val="en-GB"/>
              </w:rPr>
              <w:t>ing</w:t>
            </w:r>
            <w:r w:rsidR="001D5F97" w:rsidRPr="00B7395D">
              <w:rPr>
                <w:rFonts w:ascii="Verdana" w:hAnsi="Verdana" w:cs="Arial"/>
                <w:color w:val="000000" w:themeColor="text1"/>
                <w:sz w:val="22"/>
                <w:szCs w:val="22"/>
                <w:lang w:val="en-GB"/>
              </w:rPr>
              <w:t xml:space="preserve"> to the first fracture and prevent</w:t>
            </w:r>
            <w:r w:rsidR="00372920" w:rsidRPr="00B7395D">
              <w:rPr>
                <w:rFonts w:ascii="Verdana" w:hAnsi="Verdana" w:cs="Arial"/>
                <w:color w:val="000000" w:themeColor="text1"/>
                <w:sz w:val="22"/>
                <w:szCs w:val="22"/>
                <w:lang w:val="en-GB"/>
              </w:rPr>
              <w:t>ing</w:t>
            </w:r>
            <w:r w:rsidR="001D5F97" w:rsidRPr="00B7395D">
              <w:rPr>
                <w:rFonts w:ascii="Verdana" w:hAnsi="Verdana" w:cs="Arial"/>
                <w:color w:val="000000" w:themeColor="text1"/>
                <w:sz w:val="22"/>
                <w:szCs w:val="22"/>
                <w:lang w:val="en-GB"/>
              </w:rPr>
              <w:t xml:space="preserve"> the second</w:t>
            </w:r>
            <w:r w:rsidR="00F95D8E" w:rsidRPr="00B7395D">
              <w:rPr>
                <w:rFonts w:ascii="Verdana" w:hAnsi="Verdana" w:cs="Arial"/>
                <w:color w:val="000000" w:themeColor="text1"/>
                <w:sz w:val="22"/>
                <w:szCs w:val="22"/>
                <w:lang w:val="en-GB"/>
              </w:rPr>
              <w:t>.</w:t>
            </w:r>
          </w:p>
          <w:p w14:paraId="5238CD87" w14:textId="77777777" w:rsidR="00F95D8E" w:rsidRPr="00B7395D" w:rsidRDefault="00F95D8E" w:rsidP="00F95D8E">
            <w:pPr>
              <w:spacing w:after="120"/>
              <w:ind w:left="357"/>
              <w:rPr>
                <w:rFonts w:ascii="Verdana" w:hAnsi="Verdana" w:cs="Arial"/>
                <w:szCs w:val="22"/>
                <w:lang w:val="en-GB"/>
              </w:rPr>
            </w:pPr>
            <w:r w:rsidRPr="00B7395D">
              <w:rPr>
                <w:rFonts w:ascii="Verdana" w:hAnsi="Verdana" w:cs="Arial"/>
                <w:sz w:val="22"/>
                <w:szCs w:val="22"/>
                <w:lang w:val="en-GB"/>
              </w:rPr>
              <w:t>The objectives of the service are to:</w:t>
            </w:r>
          </w:p>
          <w:p w14:paraId="68319D64" w14:textId="77777777" w:rsidR="00E704E1" w:rsidRPr="00B7395D" w:rsidRDefault="00794DF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E</w:t>
            </w:r>
            <w:r w:rsidR="00362482" w:rsidRPr="00B7395D">
              <w:rPr>
                <w:rFonts w:ascii="Verdana" w:hAnsi="Verdana" w:cs="Arial"/>
                <w:color w:val="000000" w:themeColor="text1"/>
                <w:sz w:val="22"/>
                <w:szCs w:val="22"/>
              </w:rPr>
              <w:t xml:space="preserve">nsure that patients </w:t>
            </w:r>
            <w:r w:rsidR="00CE1C19" w:rsidRPr="00B7395D">
              <w:rPr>
                <w:rFonts w:ascii="Verdana" w:hAnsi="Verdana" w:cs="Arial"/>
                <w:color w:val="000000" w:themeColor="text1"/>
                <w:sz w:val="22"/>
                <w:szCs w:val="22"/>
              </w:rPr>
              <w:t>who sustain a</w:t>
            </w:r>
            <w:r w:rsidR="00362482" w:rsidRPr="00B7395D">
              <w:rPr>
                <w:rFonts w:ascii="Verdana" w:hAnsi="Verdana" w:cs="Arial"/>
                <w:color w:val="000000" w:themeColor="text1"/>
                <w:sz w:val="22"/>
                <w:szCs w:val="22"/>
              </w:rPr>
              <w:t xml:space="preserve"> fragility fracture receive secondary bone health </w:t>
            </w:r>
            <w:r w:rsidR="00372920" w:rsidRPr="00B7395D">
              <w:rPr>
                <w:rFonts w:ascii="Verdana" w:hAnsi="Verdana" w:cs="Arial"/>
                <w:color w:val="000000" w:themeColor="text1"/>
                <w:sz w:val="22"/>
                <w:szCs w:val="22"/>
              </w:rPr>
              <w:t xml:space="preserve">assessments and </w:t>
            </w:r>
            <w:r w:rsidR="00362482" w:rsidRPr="00B7395D">
              <w:rPr>
                <w:rFonts w:ascii="Verdana" w:hAnsi="Verdana" w:cs="Arial"/>
                <w:color w:val="000000" w:themeColor="text1"/>
                <w:sz w:val="22"/>
                <w:szCs w:val="22"/>
              </w:rPr>
              <w:t>interventions</w:t>
            </w:r>
          </w:p>
          <w:p w14:paraId="526FEE01" w14:textId="77777777" w:rsidR="00E704E1" w:rsidRPr="00B7395D" w:rsidRDefault="00794DF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E</w:t>
            </w:r>
            <w:r w:rsidR="00E85AA4" w:rsidRPr="00B7395D">
              <w:rPr>
                <w:rFonts w:ascii="Verdana" w:hAnsi="Verdana" w:cs="Arial"/>
                <w:color w:val="000000" w:themeColor="text1"/>
                <w:sz w:val="22"/>
                <w:szCs w:val="22"/>
              </w:rPr>
              <w:t xml:space="preserve">nsure that patients receive </w:t>
            </w:r>
            <w:r w:rsidR="00CE1C19" w:rsidRPr="00B7395D">
              <w:rPr>
                <w:rFonts w:ascii="Verdana" w:hAnsi="Verdana" w:cs="Arial"/>
                <w:color w:val="000000" w:themeColor="text1"/>
                <w:sz w:val="22"/>
                <w:szCs w:val="22"/>
              </w:rPr>
              <w:t xml:space="preserve">appropriate care following </w:t>
            </w:r>
            <w:r w:rsidR="00372920" w:rsidRPr="00B7395D">
              <w:rPr>
                <w:rFonts w:ascii="Verdana" w:hAnsi="Verdana" w:cs="Arial"/>
                <w:color w:val="000000" w:themeColor="text1"/>
                <w:sz w:val="22"/>
                <w:szCs w:val="22"/>
              </w:rPr>
              <w:t>a</w:t>
            </w:r>
            <w:r w:rsidR="00CE1C19" w:rsidRPr="00B7395D">
              <w:rPr>
                <w:rFonts w:ascii="Verdana" w:hAnsi="Verdana" w:cs="Arial"/>
                <w:color w:val="000000" w:themeColor="text1"/>
                <w:sz w:val="22"/>
                <w:szCs w:val="22"/>
              </w:rPr>
              <w:t xml:space="preserve"> fracture </w:t>
            </w:r>
            <w:r w:rsidR="00E85AA4" w:rsidRPr="00B7395D">
              <w:rPr>
                <w:rFonts w:ascii="Verdana" w:hAnsi="Verdana" w:cs="Arial"/>
                <w:color w:val="000000" w:themeColor="text1"/>
                <w:sz w:val="22"/>
                <w:szCs w:val="22"/>
              </w:rPr>
              <w:t>in order to obtain optimum benefit from the treatment</w:t>
            </w:r>
          </w:p>
          <w:p w14:paraId="2B0A6CB0" w14:textId="77777777" w:rsidR="00E704E1" w:rsidRPr="00B7395D" w:rsidRDefault="00E85AA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Deliver best practice in a cost effective way </w:t>
            </w:r>
            <w:r w:rsidR="00CE1C19" w:rsidRPr="00B7395D">
              <w:rPr>
                <w:rFonts w:ascii="Verdana" w:hAnsi="Verdana" w:cs="Arial"/>
                <w:color w:val="000000" w:themeColor="text1"/>
                <w:sz w:val="22"/>
                <w:szCs w:val="22"/>
              </w:rPr>
              <w:t>through a locally</w:t>
            </w:r>
            <w:r w:rsidR="00794DF7">
              <w:rPr>
                <w:rFonts w:ascii="Verdana" w:hAnsi="Verdana" w:cs="Arial"/>
                <w:color w:val="000000" w:themeColor="text1"/>
                <w:sz w:val="22"/>
                <w:szCs w:val="22"/>
              </w:rPr>
              <w:t xml:space="preserve"> agreed pathway</w:t>
            </w:r>
          </w:p>
          <w:p w14:paraId="49F86AFD" w14:textId="77777777" w:rsidR="00E704E1" w:rsidRPr="00B7395D" w:rsidRDefault="00E85AA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Improve the quality of the experience for the individual and their family by developing </w:t>
            </w:r>
            <w:r w:rsidR="00CE1C19" w:rsidRPr="00B7395D">
              <w:rPr>
                <w:rFonts w:ascii="Verdana" w:hAnsi="Verdana" w:cs="Arial"/>
                <w:color w:val="000000" w:themeColor="text1"/>
                <w:sz w:val="22"/>
                <w:szCs w:val="22"/>
              </w:rPr>
              <w:t>high quality education around the</w:t>
            </w:r>
            <w:r w:rsidR="00794DF7">
              <w:rPr>
                <w:rFonts w:ascii="Verdana" w:hAnsi="Verdana" w:cs="Arial"/>
                <w:color w:val="000000" w:themeColor="text1"/>
                <w:sz w:val="22"/>
                <w:szCs w:val="22"/>
              </w:rPr>
              <w:t xml:space="preserve"> opportunities for intervention</w:t>
            </w:r>
          </w:p>
          <w:p w14:paraId="5A2D3796" w14:textId="77777777" w:rsidR="00E704E1" w:rsidRPr="00B7395D" w:rsidRDefault="00E85AA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Reduce the cost to the health economy of fragility fractures through</w:t>
            </w:r>
            <w:r w:rsidR="006F4DE1" w:rsidRPr="00B7395D">
              <w:rPr>
                <w:rFonts w:ascii="Verdana" w:hAnsi="Verdana" w:cs="Arial"/>
                <w:color w:val="000000" w:themeColor="text1"/>
                <w:sz w:val="22"/>
                <w:szCs w:val="22"/>
              </w:rPr>
              <w:t xml:space="preserve"> effective prevention</w:t>
            </w:r>
            <w:r w:rsidR="00372920" w:rsidRPr="00B7395D">
              <w:rPr>
                <w:rFonts w:ascii="Verdana" w:hAnsi="Verdana" w:cs="Arial"/>
                <w:color w:val="000000" w:themeColor="text1"/>
                <w:sz w:val="22"/>
                <w:szCs w:val="22"/>
              </w:rPr>
              <w:t xml:space="preserve"> of secondary fractures</w:t>
            </w:r>
            <w:r w:rsidR="006F4DE1" w:rsidRPr="00B7395D">
              <w:rPr>
                <w:rFonts w:ascii="Verdana" w:hAnsi="Verdana" w:cs="Arial"/>
                <w:color w:val="000000" w:themeColor="text1"/>
                <w:sz w:val="22"/>
                <w:szCs w:val="22"/>
              </w:rPr>
              <w:t>.</w:t>
            </w:r>
          </w:p>
          <w:p w14:paraId="13BA60DE" w14:textId="77777777" w:rsidR="00194D0B" w:rsidRPr="00B7395D" w:rsidRDefault="005769C2" w:rsidP="00194D0B">
            <w:pPr>
              <w:spacing w:after="120"/>
              <w:ind w:left="357"/>
              <w:rPr>
                <w:rFonts w:ascii="Verdana" w:hAnsi="Verdana" w:cs="Arial"/>
                <w:b/>
                <w:szCs w:val="22"/>
                <w:lang w:val="en-GB"/>
              </w:rPr>
            </w:pPr>
            <w:r w:rsidRPr="00B7395D">
              <w:rPr>
                <w:rFonts w:ascii="Verdana" w:hAnsi="Verdana" w:cs="Arial"/>
                <w:b/>
                <w:sz w:val="22"/>
                <w:szCs w:val="22"/>
                <w:lang w:val="en-GB"/>
              </w:rPr>
              <w:t xml:space="preserve"> </w:t>
            </w:r>
            <w:r w:rsidR="00F95D8E" w:rsidRPr="00B7395D">
              <w:rPr>
                <w:rFonts w:ascii="Verdana" w:hAnsi="Verdana" w:cs="Arial"/>
                <w:b/>
                <w:sz w:val="22"/>
                <w:szCs w:val="22"/>
                <w:lang w:val="en-GB"/>
              </w:rPr>
              <w:t>[Edit this list and/or insert local aims and objectives]</w:t>
            </w:r>
          </w:p>
          <w:p w14:paraId="7022E349" w14:textId="77777777" w:rsidR="00194D0B" w:rsidRPr="00B7395D" w:rsidRDefault="00194D0B" w:rsidP="00194D0B">
            <w:pPr>
              <w:spacing w:after="120"/>
              <w:ind w:left="357"/>
              <w:rPr>
                <w:rFonts w:ascii="Verdana" w:hAnsi="Verdana" w:cs="Arial"/>
                <w:b/>
                <w:szCs w:val="22"/>
                <w:lang w:val="en-GB"/>
              </w:rPr>
            </w:pPr>
          </w:p>
          <w:p w14:paraId="05766208" w14:textId="77777777" w:rsidR="00075A83" w:rsidRPr="00B7395D" w:rsidRDefault="00F95D8E" w:rsidP="000B2192">
            <w:pPr>
              <w:spacing w:after="120"/>
              <w:rPr>
                <w:rFonts w:ascii="Verdana" w:hAnsi="Verdana" w:cs="Arial"/>
                <w:b/>
                <w:color w:val="009966"/>
                <w:sz w:val="28"/>
                <w:szCs w:val="28"/>
                <w:lang w:val="en-GB"/>
              </w:rPr>
            </w:pPr>
            <w:r w:rsidRPr="00B7395D">
              <w:rPr>
                <w:rFonts w:ascii="Verdana" w:hAnsi="Verdana" w:cs="Arial"/>
                <w:b/>
                <w:color w:val="009966"/>
                <w:sz w:val="28"/>
                <w:szCs w:val="28"/>
                <w:lang w:val="en-GB"/>
              </w:rPr>
              <w:t xml:space="preserve">3.2 </w:t>
            </w:r>
            <w:r w:rsidR="00075A83" w:rsidRPr="00B7395D">
              <w:rPr>
                <w:rFonts w:ascii="Verdana" w:hAnsi="Verdana" w:cs="Arial"/>
                <w:b/>
                <w:color w:val="009966"/>
                <w:sz w:val="28"/>
                <w:szCs w:val="28"/>
                <w:lang w:val="en-GB"/>
              </w:rPr>
              <w:t>Service description/care pathway</w:t>
            </w:r>
          </w:p>
          <w:p w14:paraId="299B7FC9" w14:textId="77777777" w:rsidR="00B73CB9" w:rsidRPr="008E637D" w:rsidRDefault="00B73CB9" w:rsidP="00034BFC">
            <w:pPr>
              <w:spacing w:after="120"/>
              <w:ind w:left="357"/>
              <w:rPr>
                <w:rFonts w:ascii="Verdana" w:hAnsi="Verdana" w:cs="Arial"/>
                <w:b/>
                <w:szCs w:val="22"/>
                <w:lang w:val="en-GB"/>
              </w:rPr>
            </w:pPr>
            <w:r w:rsidRPr="008E637D">
              <w:rPr>
                <w:rFonts w:ascii="Verdana" w:hAnsi="Verdana" w:cs="Arial"/>
                <w:b/>
                <w:sz w:val="22"/>
                <w:szCs w:val="22"/>
                <w:lang w:val="en-GB"/>
              </w:rPr>
              <w:t>[It is important that this section edited to reflect the agreed local pathway]</w:t>
            </w:r>
          </w:p>
          <w:p w14:paraId="4D82024F" w14:textId="77777777" w:rsidR="00372920" w:rsidRPr="00B7395D" w:rsidRDefault="00372920" w:rsidP="00034BFC">
            <w:pPr>
              <w:spacing w:after="120"/>
              <w:ind w:left="357"/>
              <w:rPr>
                <w:rFonts w:ascii="Verdana" w:hAnsi="Verdana" w:cs="Arial"/>
                <w:szCs w:val="22"/>
                <w:lang w:val="en-GB"/>
              </w:rPr>
            </w:pPr>
            <w:r w:rsidRPr="00B7395D">
              <w:rPr>
                <w:rFonts w:ascii="Verdana" w:hAnsi="Verdana" w:cs="Arial"/>
                <w:sz w:val="22"/>
                <w:szCs w:val="22"/>
                <w:lang w:val="en-GB"/>
              </w:rPr>
              <w:t>An FLS</w:t>
            </w:r>
            <w:r w:rsidR="001D5F97" w:rsidRPr="00B7395D">
              <w:rPr>
                <w:rFonts w:ascii="Verdana" w:hAnsi="Verdana" w:cs="Arial"/>
                <w:sz w:val="22"/>
                <w:szCs w:val="22"/>
                <w:lang w:val="en-GB"/>
              </w:rPr>
              <w:t xml:space="preserve"> and care pathway is commissioned to provide </w:t>
            </w:r>
            <w:r w:rsidR="00D22264" w:rsidRPr="00B7395D">
              <w:rPr>
                <w:rFonts w:ascii="Verdana" w:hAnsi="Verdana" w:cs="Arial"/>
                <w:sz w:val="22"/>
                <w:szCs w:val="22"/>
                <w:lang w:val="en-GB"/>
              </w:rPr>
              <w:t>specialist secondary fracture prevention assessment and management to patients and to support an integrated approach for fragility fracture</w:t>
            </w:r>
            <w:r w:rsidR="008D254F" w:rsidRPr="00B7395D">
              <w:rPr>
                <w:rFonts w:ascii="Verdana" w:hAnsi="Verdana" w:cs="Arial"/>
                <w:sz w:val="22"/>
                <w:szCs w:val="22"/>
                <w:lang w:val="en-GB"/>
              </w:rPr>
              <w:t>.</w:t>
            </w:r>
            <w:r w:rsidR="00D22264" w:rsidRPr="00B7395D">
              <w:rPr>
                <w:rFonts w:ascii="Verdana" w:hAnsi="Verdana" w:cs="Arial"/>
                <w:sz w:val="22"/>
                <w:szCs w:val="22"/>
                <w:lang w:val="en-GB"/>
              </w:rPr>
              <w:t xml:space="preserve"> </w:t>
            </w:r>
          </w:p>
          <w:p w14:paraId="0F9F64B2" w14:textId="77777777" w:rsidR="00D22264" w:rsidRPr="00B7395D" w:rsidRDefault="005769C2" w:rsidP="00034BFC">
            <w:pPr>
              <w:spacing w:after="120"/>
              <w:ind w:left="357"/>
              <w:rPr>
                <w:rFonts w:ascii="Verdana" w:hAnsi="Verdana" w:cs="Arial"/>
                <w:szCs w:val="22"/>
                <w:lang w:val="en-GB"/>
              </w:rPr>
            </w:pPr>
            <w:r w:rsidRPr="00B7395D">
              <w:rPr>
                <w:rFonts w:ascii="Verdana" w:hAnsi="Verdana" w:cs="Arial"/>
                <w:sz w:val="22"/>
                <w:szCs w:val="22"/>
                <w:lang w:val="en-GB"/>
              </w:rPr>
              <w:t>The service will include:</w:t>
            </w:r>
          </w:p>
          <w:p w14:paraId="70E6CBE4" w14:textId="77777777" w:rsidR="00BE08E1" w:rsidRPr="00BE08E1" w:rsidRDefault="00BE08E1"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Case-</w:t>
            </w:r>
            <w:r w:rsidRPr="00B7395D">
              <w:rPr>
                <w:rFonts w:ascii="Verdana" w:hAnsi="Verdana" w:cs="Arial"/>
                <w:color w:val="000000" w:themeColor="text1"/>
                <w:sz w:val="22"/>
                <w:szCs w:val="22"/>
              </w:rPr>
              <w:t xml:space="preserve">finding </w:t>
            </w:r>
            <w:r>
              <w:rPr>
                <w:rFonts w:ascii="Verdana" w:hAnsi="Verdana" w:cs="Arial"/>
                <w:color w:val="000000" w:themeColor="text1"/>
                <w:sz w:val="22"/>
                <w:szCs w:val="22"/>
              </w:rPr>
              <w:t>with an aim to asses</w:t>
            </w:r>
            <w:r w:rsidR="0061049E">
              <w:rPr>
                <w:rFonts w:ascii="Verdana" w:hAnsi="Verdana" w:cs="Arial"/>
                <w:color w:val="000000" w:themeColor="text1"/>
                <w:sz w:val="22"/>
                <w:szCs w:val="22"/>
              </w:rPr>
              <w:t>s</w:t>
            </w:r>
            <w:r>
              <w:rPr>
                <w:rFonts w:ascii="Verdana" w:hAnsi="Verdana" w:cs="Arial"/>
                <w:color w:val="000000" w:themeColor="text1"/>
                <w:sz w:val="22"/>
                <w:szCs w:val="22"/>
              </w:rPr>
              <w:t xml:space="preserve"> all patients with new clinical and/or radiological fragility fracture presentation at any skeletal site. This would include the following groups of patients:</w:t>
            </w:r>
          </w:p>
          <w:p w14:paraId="6128D1C1" w14:textId="77777777" w:rsidR="00BE08E1" w:rsidRPr="009D2712" w:rsidRDefault="009D2712" w:rsidP="009D2712">
            <w:pPr>
              <w:pStyle w:val="ListParagraph"/>
              <w:numPr>
                <w:ilvl w:val="0"/>
                <w:numId w:val="20"/>
              </w:numPr>
              <w:spacing w:after="120"/>
              <w:ind w:left="1452"/>
              <w:rPr>
                <w:rFonts w:ascii="Verdana" w:hAnsi="Verdana" w:cs="Arial"/>
                <w:color w:val="000000" w:themeColor="text1"/>
                <w:szCs w:val="22"/>
              </w:rPr>
            </w:pPr>
            <w:r w:rsidRPr="009D2712">
              <w:rPr>
                <w:rFonts w:ascii="Verdana" w:hAnsi="Verdana" w:cs="Arial"/>
                <w:color w:val="000000" w:themeColor="text1"/>
                <w:sz w:val="22"/>
                <w:szCs w:val="22"/>
              </w:rPr>
              <w:t>Inpatients on acute orthopaedic/trauma wards</w:t>
            </w:r>
          </w:p>
          <w:p w14:paraId="7603B08D" w14:textId="31EA6200" w:rsidR="009D2712" w:rsidRPr="009D2712" w:rsidRDefault="009D2712" w:rsidP="009D2712">
            <w:pPr>
              <w:pStyle w:val="ListParagraph"/>
              <w:numPr>
                <w:ilvl w:val="0"/>
                <w:numId w:val="20"/>
              </w:numPr>
              <w:spacing w:after="120"/>
              <w:ind w:left="1452"/>
              <w:rPr>
                <w:rFonts w:ascii="Verdana" w:hAnsi="Verdana" w:cs="Arial"/>
                <w:color w:val="000000" w:themeColor="text1"/>
                <w:szCs w:val="22"/>
              </w:rPr>
            </w:pPr>
            <w:r w:rsidRPr="009D2712">
              <w:rPr>
                <w:rFonts w:ascii="Verdana" w:hAnsi="Verdana" w:cs="Arial"/>
                <w:color w:val="000000" w:themeColor="text1"/>
                <w:sz w:val="22"/>
                <w:szCs w:val="22"/>
              </w:rPr>
              <w:t>Inpatients on general medical or elderly care wards not requiring surgical fixation</w:t>
            </w:r>
          </w:p>
          <w:p w14:paraId="06991074" w14:textId="61B68075" w:rsidR="009D2712" w:rsidRPr="009D2712" w:rsidRDefault="009D2712" w:rsidP="009D2712">
            <w:pPr>
              <w:pStyle w:val="ListParagraph"/>
              <w:numPr>
                <w:ilvl w:val="0"/>
                <w:numId w:val="20"/>
              </w:numPr>
              <w:spacing w:after="120"/>
              <w:ind w:left="1452"/>
              <w:rPr>
                <w:rFonts w:ascii="Verdana" w:hAnsi="Verdana" w:cs="Arial"/>
                <w:color w:val="000000" w:themeColor="text1"/>
                <w:szCs w:val="22"/>
              </w:rPr>
            </w:pPr>
            <w:r w:rsidRPr="009D2712">
              <w:rPr>
                <w:rFonts w:ascii="Verdana" w:hAnsi="Verdana" w:cs="Arial"/>
                <w:color w:val="000000" w:themeColor="text1"/>
                <w:sz w:val="22"/>
                <w:szCs w:val="22"/>
              </w:rPr>
              <w:t xml:space="preserve">Those presenting acutely and not requiring hospital admission but managed as outpatients via orthopaedic </w:t>
            </w:r>
            <w:r w:rsidR="00B73CB9">
              <w:rPr>
                <w:rFonts w:ascii="Verdana" w:hAnsi="Verdana" w:cs="Arial"/>
                <w:color w:val="000000" w:themeColor="text1"/>
                <w:sz w:val="22"/>
                <w:szCs w:val="22"/>
              </w:rPr>
              <w:t>fracture clinic or</w:t>
            </w:r>
            <w:r w:rsidRPr="009D2712">
              <w:rPr>
                <w:rFonts w:ascii="Verdana" w:hAnsi="Verdana" w:cs="Arial"/>
                <w:color w:val="000000" w:themeColor="text1"/>
                <w:sz w:val="22"/>
                <w:szCs w:val="22"/>
              </w:rPr>
              <w:t xml:space="preserve"> emergency </w:t>
            </w:r>
            <w:r w:rsidR="00B73CB9">
              <w:rPr>
                <w:rFonts w:ascii="Verdana" w:hAnsi="Verdana" w:cs="Arial"/>
                <w:color w:val="000000" w:themeColor="text1"/>
                <w:sz w:val="22"/>
                <w:szCs w:val="22"/>
              </w:rPr>
              <w:t>department follow up</w:t>
            </w:r>
          </w:p>
          <w:p w14:paraId="3918F61A" w14:textId="316AEB56" w:rsidR="009D2712" w:rsidRPr="009D2712" w:rsidRDefault="0078604F" w:rsidP="009D2712">
            <w:pPr>
              <w:pStyle w:val="ListParagraph"/>
              <w:numPr>
                <w:ilvl w:val="0"/>
                <w:numId w:val="20"/>
              </w:numPr>
              <w:spacing w:after="120"/>
              <w:ind w:left="1452"/>
              <w:rPr>
                <w:rFonts w:ascii="Verdana" w:hAnsi="Verdana" w:cs="Arial"/>
                <w:color w:val="000000" w:themeColor="text1"/>
                <w:szCs w:val="22"/>
              </w:rPr>
            </w:pPr>
            <w:r>
              <w:rPr>
                <w:rFonts w:ascii="Verdana" w:hAnsi="Verdana" w:cs="Arial"/>
                <w:color w:val="000000" w:themeColor="text1"/>
                <w:sz w:val="22"/>
                <w:szCs w:val="22"/>
              </w:rPr>
              <w:t>Patients p</w:t>
            </w:r>
            <w:r w:rsidR="009D2712" w:rsidRPr="009D2712">
              <w:rPr>
                <w:rFonts w:ascii="Verdana" w:hAnsi="Verdana" w:cs="Arial"/>
                <w:color w:val="000000" w:themeColor="text1"/>
                <w:sz w:val="22"/>
                <w:szCs w:val="22"/>
              </w:rPr>
              <w:t>resenting acutely but not requiring hospital admission or fracture clinic follow-up</w:t>
            </w:r>
          </w:p>
          <w:p w14:paraId="0DA6139F" w14:textId="6DD30C1E" w:rsidR="009D2712" w:rsidRPr="009D2712" w:rsidRDefault="009D2712" w:rsidP="009D2712">
            <w:pPr>
              <w:pStyle w:val="ListParagraph"/>
              <w:numPr>
                <w:ilvl w:val="0"/>
                <w:numId w:val="20"/>
              </w:numPr>
              <w:spacing w:after="120"/>
              <w:ind w:left="1452"/>
              <w:rPr>
                <w:rFonts w:ascii="Verdana" w:hAnsi="Verdana" w:cs="Arial"/>
                <w:color w:val="000000" w:themeColor="text1"/>
                <w:szCs w:val="22"/>
              </w:rPr>
            </w:pPr>
            <w:r w:rsidRPr="009D2712">
              <w:rPr>
                <w:rFonts w:ascii="Verdana" w:hAnsi="Verdana" w:cs="Arial"/>
                <w:color w:val="000000" w:themeColor="text1"/>
                <w:sz w:val="22"/>
                <w:szCs w:val="22"/>
              </w:rPr>
              <w:t>New spine fractures identified on radiology reports (incidental or anticipated)</w:t>
            </w:r>
          </w:p>
          <w:p w14:paraId="374B7BE0" w14:textId="77777777" w:rsidR="00B73CB9" w:rsidRPr="008E637D" w:rsidRDefault="009D2712" w:rsidP="009D2712">
            <w:pPr>
              <w:pStyle w:val="ListParagraph"/>
              <w:numPr>
                <w:ilvl w:val="0"/>
                <w:numId w:val="20"/>
              </w:numPr>
              <w:spacing w:after="120"/>
              <w:ind w:left="1452"/>
              <w:rPr>
                <w:rFonts w:ascii="Verdana" w:hAnsi="Verdana" w:cs="Arial"/>
                <w:color w:val="000000" w:themeColor="text1"/>
                <w:szCs w:val="22"/>
              </w:rPr>
            </w:pPr>
            <w:r w:rsidRPr="009D2712">
              <w:rPr>
                <w:rFonts w:ascii="Verdana" w:hAnsi="Verdana" w:cs="Aileron Light"/>
                <w:color w:val="000000"/>
                <w:sz w:val="22"/>
                <w:szCs w:val="22"/>
              </w:rPr>
              <w:t>New fractures as a result of a fall during hospitalisation for other reasons</w:t>
            </w:r>
          </w:p>
          <w:p w14:paraId="65DC144B" w14:textId="5484DED9" w:rsidR="009D2712" w:rsidRDefault="00B73CB9" w:rsidP="009D2712">
            <w:pPr>
              <w:pStyle w:val="ListParagraph"/>
              <w:numPr>
                <w:ilvl w:val="0"/>
                <w:numId w:val="20"/>
              </w:numPr>
              <w:spacing w:after="120"/>
              <w:ind w:left="1452"/>
              <w:rPr>
                <w:rFonts w:ascii="Verdana" w:hAnsi="Verdana" w:cs="Arial"/>
                <w:color w:val="000000" w:themeColor="text1"/>
                <w:szCs w:val="22"/>
              </w:rPr>
            </w:pPr>
            <w:r>
              <w:rPr>
                <w:rFonts w:ascii="Verdana" w:hAnsi="Verdana" w:cs="Aileron Light"/>
                <w:color w:val="000000"/>
                <w:sz w:val="22"/>
                <w:szCs w:val="22"/>
              </w:rPr>
              <w:t>Patients have a CT or other scan where a fragility fracture might be detected opportunistically</w:t>
            </w:r>
          </w:p>
          <w:p w14:paraId="47036BDE" w14:textId="2397B2DA" w:rsidR="00E704E1" w:rsidRPr="009D2712" w:rsidRDefault="00E704E1" w:rsidP="008E637D">
            <w:pPr>
              <w:pStyle w:val="ListParagraph"/>
              <w:spacing w:after="120"/>
              <w:rPr>
                <w:rFonts w:ascii="Verdana" w:hAnsi="Verdana" w:cs="Arial"/>
                <w:color w:val="000000" w:themeColor="text1"/>
                <w:szCs w:val="22"/>
              </w:rPr>
            </w:pPr>
          </w:p>
          <w:p w14:paraId="694E0FB1" w14:textId="77777777" w:rsidR="00E704E1" w:rsidRPr="00B7395D" w:rsidRDefault="005769C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Triage</w:t>
            </w:r>
            <w:r w:rsidR="00E85AA4" w:rsidRPr="00B7395D">
              <w:rPr>
                <w:rFonts w:ascii="Verdana" w:hAnsi="Verdana" w:cs="Arial"/>
                <w:color w:val="000000" w:themeColor="text1"/>
                <w:sz w:val="22"/>
                <w:szCs w:val="22"/>
              </w:rPr>
              <w:t xml:space="preserve"> and </w:t>
            </w:r>
            <w:r w:rsidRPr="00B7395D">
              <w:rPr>
                <w:rFonts w:ascii="Verdana" w:hAnsi="Verdana" w:cs="Arial"/>
                <w:color w:val="000000" w:themeColor="text1"/>
                <w:sz w:val="22"/>
                <w:szCs w:val="22"/>
              </w:rPr>
              <w:t xml:space="preserve">assessment </w:t>
            </w:r>
            <w:r w:rsidR="00E85AA4" w:rsidRPr="00B7395D">
              <w:rPr>
                <w:rFonts w:ascii="Verdana" w:hAnsi="Verdana" w:cs="Arial"/>
                <w:color w:val="000000" w:themeColor="text1"/>
                <w:sz w:val="22"/>
                <w:szCs w:val="22"/>
              </w:rPr>
              <w:t xml:space="preserve">of identified patients </w:t>
            </w:r>
            <w:r w:rsidRPr="00B7395D">
              <w:rPr>
                <w:rFonts w:ascii="Verdana" w:hAnsi="Verdana" w:cs="Arial"/>
                <w:color w:val="000000" w:themeColor="text1"/>
                <w:sz w:val="22"/>
                <w:szCs w:val="22"/>
              </w:rPr>
              <w:t xml:space="preserve">by </w:t>
            </w:r>
            <w:r w:rsidR="00372920" w:rsidRPr="00B7395D">
              <w:rPr>
                <w:rFonts w:ascii="Verdana" w:hAnsi="Verdana" w:cs="Arial"/>
                <w:color w:val="000000" w:themeColor="text1"/>
                <w:sz w:val="22"/>
                <w:szCs w:val="22"/>
              </w:rPr>
              <w:t xml:space="preserve">fracture liaison </w:t>
            </w:r>
            <w:r w:rsidR="00CE1C19" w:rsidRPr="00B7395D">
              <w:rPr>
                <w:rFonts w:ascii="Verdana" w:hAnsi="Verdana" w:cs="Arial"/>
                <w:color w:val="000000" w:themeColor="text1"/>
                <w:sz w:val="22"/>
                <w:szCs w:val="22"/>
              </w:rPr>
              <w:t>coordinators/specialist nurses</w:t>
            </w:r>
            <w:r w:rsidR="0070501B">
              <w:rPr>
                <w:rFonts w:ascii="Verdana" w:hAnsi="Verdana" w:cs="Arial"/>
                <w:color w:val="000000" w:themeColor="text1"/>
                <w:sz w:val="22"/>
                <w:szCs w:val="22"/>
              </w:rPr>
              <w:t xml:space="preserve"> within 3 months of the incident fracture</w:t>
            </w:r>
          </w:p>
          <w:p w14:paraId="72BCF6A7" w14:textId="77777777" w:rsidR="00E704E1" w:rsidRPr="006065E7" w:rsidRDefault="005769C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Diagnosis of osteoporosis </w:t>
            </w:r>
            <w:r w:rsidR="00E85AA4" w:rsidRPr="00B7395D">
              <w:rPr>
                <w:rFonts w:ascii="Verdana" w:hAnsi="Verdana" w:cs="Arial"/>
                <w:color w:val="000000" w:themeColor="text1"/>
                <w:sz w:val="22"/>
                <w:szCs w:val="22"/>
              </w:rPr>
              <w:t xml:space="preserve">using </w:t>
            </w:r>
            <w:r w:rsidR="00CE1C19" w:rsidRPr="00B7395D">
              <w:rPr>
                <w:rFonts w:ascii="Verdana" w:hAnsi="Verdana" w:cs="Arial"/>
                <w:color w:val="000000" w:themeColor="text1"/>
                <w:sz w:val="22"/>
                <w:szCs w:val="22"/>
              </w:rPr>
              <w:t>DXA</w:t>
            </w:r>
            <w:r w:rsidR="006065E7">
              <w:rPr>
                <w:rFonts w:ascii="Verdana" w:hAnsi="Verdana" w:cs="Arial"/>
                <w:color w:val="000000" w:themeColor="text1"/>
                <w:sz w:val="22"/>
                <w:szCs w:val="22"/>
              </w:rPr>
              <w:t xml:space="preserve"> </w:t>
            </w:r>
          </w:p>
          <w:p w14:paraId="564F6073" w14:textId="77777777" w:rsidR="006065E7" w:rsidRPr="00B7395D" w:rsidRDefault="006065E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Appropriate investigations to exclude secondary causes of osteoporosis or fracture</w:t>
            </w:r>
          </w:p>
          <w:p w14:paraId="3E33F850" w14:textId="77777777" w:rsidR="006966B2" w:rsidRPr="00B7395D" w:rsidRDefault="006966B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Identification </w:t>
            </w:r>
            <w:r w:rsidR="005769C2" w:rsidRPr="00B7395D">
              <w:rPr>
                <w:rFonts w:ascii="Verdana" w:hAnsi="Verdana" w:cs="Arial"/>
                <w:color w:val="000000" w:themeColor="text1"/>
                <w:sz w:val="22"/>
                <w:szCs w:val="22"/>
              </w:rPr>
              <w:t xml:space="preserve">of </w:t>
            </w:r>
            <w:r w:rsidR="00372920" w:rsidRPr="00B7395D">
              <w:rPr>
                <w:rFonts w:ascii="Verdana" w:hAnsi="Verdana" w:cs="Arial"/>
                <w:color w:val="000000" w:themeColor="text1"/>
                <w:sz w:val="22"/>
                <w:szCs w:val="22"/>
              </w:rPr>
              <w:t xml:space="preserve">patients </w:t>
            </w:r>
            <w:r w:rsidR="00EC3E2B">
              <w:rPr>
                <w:rFonts w:ascii="Verdana" w:hAnsi="Verdana" w:cs="Arial"/>
                <w:color w:val="000000" w:themeColor="text1"/>
                <w:sz w:val="22"/>
                <w:szCs w:val="22"/>
              </w:rPr>
              <w:t xml:space="preserve">at risk of further/future falls </w:t>
            </w:r>
            <w:r w:rsidR="00372920" w:rsidRPr="00B7395D">
              <w:rPr>
                <w:rFonts w:ascii="Verdana" w:hAnsi="Verdana" w:cs="Arial"/>
                <w:color w:val="000000" w:themeColor="text1"/>
                <w:sz w:val="22"/>
                <w:szCs w:val="22"/>
              </w:rPr>
              <w:t>whose behaviour can be modified</w:t>
            </w:r>
            <w:r w:rsidR="005769C2" w:rsidRPr="00B7395D">
              <w:rPr>
                <w:rFonts w:ascii="Verdana" w:hAnsi="Verdana" w:cs="Arial"/>
                <w:color w:val="000000" w:themeColor="text1"/>
                <w:sz w:val="22"/>
                <w:szCs w:val="22"/>
              </w:rPr>
              <w:t xml:space="preserve"> and </w:t>
            </w:r>
            <w:r w:rsidRPr="00B7395D">
              <w:rPr>
                <w:rFonts w:ascii="Verdana" w:hAnsi="Verdana" w:cs="Arial"/>
                <w:color w:val="000000" w:themeColor="text1"/>
                <w:sz w:val="22"/>
                <w:szCs w:val="22"/>
              </w:rPr>
              <w:t>referral to a falls prevention service</w:t>
            </w:r>
            <w:r w:rsidR="00EC3E2B">
              <w:rPr>
                <w:rFonts w:ascii="Verdana" w:hAnsi="Verdana" w:cs="Arial"/>
                <w:color w:val="000000" w:themeColor="text1"/>
                <w:sz w:val="22"/>
                <w:szCs w:val="22"/>
              </w:rPr>
              <w:t xml:space="preserve"> or other appropriate intervention</w:t>
            </w:r>
          </w:p>
          <w:p w14:paraId="6AC9FB6A" w14:textId="77777777" w:rsidR="00E704E1" w:rsidRPr="006065E7" w:rsidRDefault="00E85AA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Initiation of treatment for </w:t>
            </w:r>
            <w:r w:rsidR="006966B2" w:rsidRPr="00B7395D">
              <w:rPr>
                <w:rFonts w:ascii="Verdana" w:hAnsi="Verdana" w:cs="Arial"/>
                <w:color w:val="000000" w:themeColor="text1"/>
                <w:sz w:val="22"/>
                <w:szCs w:val="22"/>
              </w:rPr>
              <w:t>fracture risk reduction</w:t>
            </w:r>
            <w:r w:rsidRPr="00B7395D">
              <w:rPr>
                <w:rFonts w:ascii="Verdana" w:hAnsi="Verdana" w:cs="Arial"/>
                <w:color w:val="000000" w:themeColor="text1"/>
                <w:sz w:val="22"/>
                <w:szCs w:val="22"/>
              </w:rPr>
              <w:t xml:space="preserve"> in line with agreed guidelines</w:t>
            </w:r>
          </w:p>
          <w:p w14:paraId="61BEEFFE" w14:textId="0DB50E98" w:rsidR="006065E7" w:rsidRPr="00B7395D" w:rsidRDefault="006065E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 xml:space="preserve">Bone health management plan to be agreed with the patient. </w:t>
            </w:r>
            <w:r w:rsidR="0070501B">
              <w:rPr>
                <w:rFonts w:ascii="Verdana" w:hAnsi="Verdana" w:cs="Arial"/>
                <w:color w:val="000000" w:themeColor="text1"/>
                <w:sz w:val="22"/>
                <w:szCs w:val="22"/>
              </w:rPr>
              <w:t xml:space="preserve">This should include information on bone health, lifestyle, nutrition and bone protection treatments. </w:t>
            </w:r>
            <w:r>
              <w:rPr>
                <w:rFonts w:ascii="Verdana" w:hAnsi="Verdana" w:cs="Arial"/>
                <w:color w:val="000000" w:themeColor="text1"/>
                <w:sz w:val="22"/>
                <w:szCs w:val="22"/>
              </w:rPr>
              <w:t xml:space="preserve"> A copy to be held by the patient and the patient’s general practitioner </w:t>
            </w:r>
          </w:p>
          <w:p w14:paraId="7509BF0F" w14:textId="77777777" w:rsidR="006065E7" w:rsidRPr="00916E5E" w:rsidRDefault="006065E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Dependent on local agreement:</w:t>
            </w:r>
          </w:p>
          <w:p w14:paraId="11F38FD9" w14:textId="77777777" w:rsidR="00E704E1" w:rsidRPr="006065E7" w:rsidRDefault="00E85AA4" w:rsidP="006065E7">
            <w:pPr>
              <w:pStyle w:val="ListParagraph"/>
              <w:numPr>
                <w:ilvl w:val="0"/>
                <w:numId w:val="3"/>
              </w:numPr>
              <w:spacing w:after="120"/>
              <w:ind w:left="1168" w:hanging="283"/>
              <w:rPr>
                <w:rFonts w:ascii="Verdana" w:hAnsi="Verdana" w:cs="Arial"/>
                <w:color w:val="000000" w:themeColor="text1"/>
                <w:szCs w:val="22"/>
              </w:rPr>
            </w:pPr>
            <w:r w:rsidRPr="00B7395D">
              <w:rPr>
                <w:rFonts w:ascii="Verdana" w:hAnsi="Verdana" w:cs="Arial"/>
                <w:color w:val="000000" w:themeColor="text1"/>
                <w:sz w:val="22"/>
                <w:szCs w:val="22"/>
              </w:rPr>
              <w:t xml:space="preserve">Prescription and dispensing of medication for </w:t>
            </w:r>
            <w:r w:rsidRPr="00B7395D">
              <w:rPr>
                <w:rFonts w:ascii="Verdana" w:hAnsi="Verdana" w:cs="Arial"/>
                <w:b/>
                <w:color w:val="000000" w:themeColor="text1"/>
                <w:sz w:val="22"/>
                <w:szCs w:val="22"/>
              </w:rPr>
              <w:t xml:space="preserve">[XX] </w:t>
            </w:r>
            <w:r w:rsidR="00794DF7">
              <w:rPr>
                <w:rFonts w:ascii="Verdana" w:hAnsi="Verdana" w:cs="Arial"/>
                <w:color w:val="000000" w:themeColor="text1"/>
                <w:sz w:val="22"/>
                <w:szCs w:val="22"/>
              </w:rPr>
              <w:t>days</w:t>
            </w:r>
          </w:p>
          <w:p w14:paraId="47E232CD" w14:textId="77777777" w:rsidR="006065E7" w:rsidRPr="006065E7" w:rsidRDefault="006065E7" w:rsidP="006065E7">
            <w:pPr>
              <w:pStyle w:val="ListParagraph"/>
              <w:spacing w:after="120"/>
              <w:ind w:left="1168"/>
              <w:rPr>
                <w:rFonts w:ascii="Verdana" w:hAnsi="Verdana" w:cs="Arial"/>
                <w:color w:val="000000" w:themeColor="text1"/>
                <w:szCs w:val="22"/>
              </w:rPr>
            </w:pPr>
            <w:r>
              <w:rPr>
                <w:rFonts w:ascii="Verdana" w:hAnsi="Verdana" w:cs="Arial"/>
                <w:color w:val="000000" w:themeColor="text1"/>
                <w:sz w:val="22"/>
                <w:szCs w:val="22"/>
              </w:rPr>
              <w:t>OR</w:t>
            </w:r>
          </w:p>
          <w:p w14:paraId="4BC3BA70" w14:textId="77777777" w:rsidR="0070501B" w:rsidRPr="00BE08E1" w:rsidRDefault="006065E7" w:rsidP="00BE08E1">
            <w:pPr>
              <w:pStyle w:val="ListParagraph"/>
              <w:numPr>
                <w:ilvl w:val="0"/>
                <w:numId w:val="3"/>
              </w:numPr>
              <w:spacing w:after="120"/>
              <w:ind w:left="1168" w:hanging="283"/>
              <w:rPr>
                <w:rFonts w:ascii="Verdana" w:hAnsi="Verdana" w:cs="Arial"/>
                <w:color w:val="000000" w:themeColor="text1"/>
                <w:szCs w:val="22"/>
              </w:rPr>
            </w:pPr>
            <w:r>
              <w:rPr>
                <w:rFonts w:ascii="Verdana" w:hAnsi="Verdana" w:cs="Arial"/>
                <w:color w:val="000000" w:themeColor="text1"/>
                <w:sz w:val="22"/>
                <w:szCs w:val="22"/>
              </w:rPr>
              <w:t xml:space="preserve">Request to general practitioner that treatment is </w:t>
            </w:r>
            <w:r w:rsidR="00B73CB9">
              <w:rPr>
                <w:rFonts w:ascii="Verdana" w:hAnsi="Verdana" w:cs="Arial"/>
                <w:color w:val="000000" w:themeColor="text1"/>
                <w:sz w:val="22"/>
                <w:szCs w:val="22"/>
              </w:rPr>
              <w:t xml:space="preserve">to be </w:t>
            </w:r>
            <w:r>
              <w:rPr>
                <w:rFonts w:ascii="Verdana" w:hAnsi="Verdana" w:cs="Arial"/>
                <w:color w:val="000000" w:themeColor="text1"/>
                <w:sz w:val="22"/>
                <w:szCs w:val="22"/>
              </w:rPr>
              <w:t>initiated according to treatment plan</w:t>
            </w:r>
          </w:p>
          <w:p w14:paraId="1F5A206C" w14:textId="1C6E0549" w:rsidR="00E704E1" w:rsidRPr="00B7395D" w:rsidRDefault="00E85AA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Liaison with the patient’s general practitioner with the aim </w:t>
            </w:r>
            <w:r w:rsidR="00F24E46">
              <w:rPr>
                <w:rFonts w:ascii="Verdana" w:hAnsi="Verdana" w:cs="Arial"/>
                <w:color w:val="000000" w:themeColor="text1"/>
                <w:sz w:val="22"/>
                <w:szCs w:val="22"/>
              </w:rPr>
              <w:t xml:space="preserve">of </w:t>
            </w:r>
            <w:r w:rsidRPr="00B7395D">
              <w:rPr>
                <w:rFonts w:ascii="Verdana" w:hAnsi="Verdana" w:cs="Arial"/>
                <w:color w:val="000000" w:themeColor="text1"/>
                <w:sz w:val="22"/>
                <w:szCs w:val="22"/>
              </w:rPr>
              <w:t>o</w:t>
            </w:r>
            <w:r w:rsidR="00794DF7">
              <w:rPr>
                <w:rFonts w:ascii="Verdana" w:hAnsi="Verdana" w:cs="Arial"/>
                <w:color w:val="000000" w:themeColor="text1"/>
                <w:sz w:val="22"/>
                <w:szCs w:val="22"/>
              </w:rPr>
              <w:t>ptimising long term treatment</w:t>
            </w:r>
            <w:r w:rsidR="006065E7">
              <w:rPr>
                <w:rFonts w:ascii="Verdana" w:hAnsi="Verdana" w:cs="Arial"/>
                <w:color w:val="000000" w:themeColor="text1"/>
                <w:sz w:val="22"/>
                <w:szCs w:val="22"/>
              </w:rPr>
              <w:t xml:space="preserve"> and compliance</w:t>
            </w:r>
          </w:p>
          <w:p w14:paraId="5F9A9418" w14:textId="634D5470" w:rsidR="00372920" w:rsidRPr="00B7395D" w:rsidRDefault="00EC3E2B"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 xml:space="preserve">Follow up of patients </w:t>
            </w:r>
            <w:r w:rsidR="00B73CB9">
              <w:rPr>
                <w:rFonts w:ascii="Verdana" w:hAnsi="Verdana" w:cs="Arial"/>
                <w:color w:val="000000" w:themeColor="text1"/>
                <w:sz w:val="22"/>
                <w:szCs w:val="22"/>
              </w:rPr>
              <w:t>at</w:t>
            </w:r>
            <w:r w:rsidR="0070501B">
              <w:rPr>
                <w:rFonts w:ascii="Verdana" w:hAnsi="Verdana" w:cs="Arial"/>
                <w:color w:val="000000" w:themeColor="text1"/>
                <w:sz w:val="22"/>
                <w:szCs w:val="22"/>
              </w:rPr>
              <w:t xml:space="preserve"> </w:t>
            </w:r>
            <w:r>
              <w:rPr>
                <w:rFonts w:ascii="Verdana" w:hAnsi="Verdana" w:cs="Arial"/>
                <w:color w:val="000000" w:themeColor="text1"/>
                <w:sz w:val="22"/>
                <w:szCs w:val="22"/>
              </w:rPr>
              <w:t>4 and</w:t>
            </w:r>
            <w:r w:rsidR="0070501B">
              <w:rPr>
                <w:rFonts w:ascii="Verdana" w:hAnsi="Verdana" w:cs="Arial"/>
                <w:color w:val="000000" w:themeColor="text1"/>
                <w:sz w:val="22"/>
                <w:szCs w:val="22"/>
              </w:rPr>
              <w:t xml:space="preserve"> every</w:t>
            </w:r>
            <w:r>
              <w:rPr>
                <w:rFonts w:ascii="Verdana" w:hAnsi="Verdana" w:cs="Arial"/>
                <w:color w:val="000000" w:themeColor="text1"/>
                <w:sz w:val="22"/>
                <w:szCs w:val="22"/>
              </w:rPr>
              <w:t xml:space="preserve"> 12 months</w:t>
            </w:r>
            <w:r w:rsidR="0070501B">
              <w:rPr>
                <w:rFonts w:ascii="Verdana" w:hAnsi="Verdana" w:cs="Arial"/>
                <w:color w:val="000000" w:themeColor="text1"/>
                <w:sz w:val="22"/>
                <w:szCs w:val="22"/>
              </w:rPr>
              <w:t xml:space="preserve"> thereafter</w:t>
            </w:r>
            <w:r w:rsidR="00BE08E1">
              <w:rPr>
                <w:rFonts w:ascii="Verdana" w:hAnsi="Verdana" w:cs="Arial"/>
                <w:color w:val="000000" w:themeColor="text1"/>
                <w:sz w:val="22"/>
                <w:szCs w:val="22"/>
              </w:rPr>
              <w:t xml:space="preserve"> to monitor adherence with plan</w:t>
            </w:r>
            <w:r w:rsidR="006065E7">
              <w:rPr>
                <w:rFonts w:ascii="Verdana" w:hAnsi="Verdana" w:cs="Arial"/>
                <w:color w:val="000000" w:themeColor="text1"/>
                <w:sz w:val="22"/>
                <w:szCs w:val="22"/>
              </w:rPr>
              <w:t xml:space="preserve">.  </w:t>
            </w:r>
            <w:r w:rsidR="00B73CB9" w:rsidRPr="008E637D">
              <w:rPr>
                <w:rFonts w:ascii="Verdana" w:hAnsi="Verdana" w:cs="Arial"/>
                <w:b/>
                <w:color w:val="000000" w:themeColor="text1"/>
                <w:sz w:val="22"/>
                <w:szCs w:val="22"/>
              </w:rPr>
              <w:t>[</w:t>
            </w:r>
            <w:r w:rsidR="006065E7" w:rsidRPr="008E637D">
              <w:rPr>
                <w:rFonts w:ascii="Verdana" w:hAnsi="Verdana" w:cs="Arial"/>
                <w:b/>
                <w:color w:val="000000" w:themeColor="text1"/>
                <w:sz w:val="22"/>
                <w:szCs w:val="22"/>
              </w:rPr>
              <w:t xml:space="preserve">Method of follow up to be agreed locally - telephone follow up is </w:t>
            </w:r>
            <w:r w:rsidR="00B73CB9">
              <w:rPr>
                <w:rFonts w:ascii="Verdana" w:hAnsi="Verdana" w:cs="Arial"/>
                <w:b/>
                <w:color w:val="000000" w:themeColor="text1"/>
                <w:sz w:val="22"/>
                <w:szCs w:val="22"/>
              </w:rPr>
              <w:t>known to be clinically and cost effective</w:t>
            </w:r>
            <w:r w:rsidR="00B73CB9" w:rsidRPr="008E637D">
              <w:rPr>
                <w:rFonts w:ascii="Verdana" w:hAnsi="Verdana" w:cs="Arial"/>
                <w:b/>
                <w:color w:val="000000" w:themeColor="text1"/>
                <w:sz w:val="22"/>
                <w:szCs w:val="22"/>
              </w:rPr>
              <w:t>]</w:t>
            </w:r>
          </w:p>
          <w:p w14:paraId="483033C9" w14:textId="77777777" w:rsidR="00E704E1" w:rsidRPr="00B7395D" w:rsidRDefault="005769C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Educati</w:t>
            </w:r>
            <w:r w:rsidR="00794DF7">
              <w:rPr>
                <w:rFonts w:ascii="Verdana" w:hAnsi="Verdana" w:cs="Arial"/>
                <w:color w:val="000000" w:themeColor="text1"/>
                <w:sz w:val="22"/>
                <w:szCs w:val="22"/>
              </w:rPr>
              <w:t>on and support for primary care</w:t>
            </w:r>
          </w:p>
          <w:p w14:paraId="7C3F8267" w14:textId="77777777" w:rsidR="00E704E1" w:rsidRPr="00B7395D" w:rsidRDefault="003A688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Promotion of service to all rele</w:t>
            </w:r>
            <w:r w:rsidR="00C11201" w:rsidRPr="00B7395D">
              <w:rPr>
                <w:rFonts w:ascii="Verdana" w:hAnsi="Verdana" w:cs="Arial"/>
                <w:color w:val="000000" w:themeColor="text1"/>
                <w:sz w:val="22"/>
                <w:szCs w:val="22"/>
              </w:rPr>
              <w:t>vant hospital teams in order to maximise case finding</w:t>
            </w:r>
          </w:p>
          <w:p w14:paraId="2B7AA833" w14:textId="77777777" w:rsidR="00E704E1" w:rsidRPr="00B7395D" w:rsidRDefault="005769C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Specialist </w:t>
            </w:r>
            <w:r w:rsidR="00562082" w:rsidRPr="00B7395D">
              <w:rPr>
                <w:rFonts w:ascii="Verdana" w:hAnsi="Verdana" w:cs="Arial"/>
                <w:color w:val="000000" w:themeColor="text1"/>
                <w:sz w:val="22"/>
                <w:szCs w:val="22"/>
              </w:rPr>
              <w:t xml:space="preserve">clinic </w:t>
            </w:r>
            <w:r w:rsidRPr="00B7395D">
              <w:rPr>
                <w:rFonts w:ascii="Verdana" w:hAnsi="Verdana" w:cs="Arial"/>
                <w:color w:val="000000" w:themeColor="text1"/>
                <w:sz w:val="22"/>
                <w:szCs w:val="22"/>
              </w:rPr>
              <w:t>support for secondary care clinicians in managing complex and rare bone conditions</w:t>
            </w:r>
          </w:p>
          <w:p w14:paraId="1B936CE5" w14:textId="19E1CA38" w:rsidR="00E704E1" w:rsidRPr="00BE08E1" w:rsidRDefault="005769C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A</w:t>
            </w:r>
            <w:r w:rsidR="001D5F97" w:rsidRPr="00B7395D">
              <w:rPr>
                <w:rFonts w:ascii="Verdana" w:hAnsi="Verdana" w:cs="Arial"/>
                <w:color w:val="000000" w:themeColor="text1"/>
                <w:sz w:val="22"/>
                <w:szCs w:val="22"/>
              </w:rPr>
              <w:t xml:space="preserve"> database of patients </w:t>
            </w:r>
            <w:r w:rsidR="00562082" w:rsidRPr="00B7395D">
              <w:rPr>
                <w:rFonts w:ascii="Verdana" w:hAnsi="Verdana" w:cs="Arial"/>
                <w:color w:val="000000" w:themeColor="text1"/>
                <w:sz w:val="22"/>
                <w:szCs w:val="22"/>
              </w:rPr>
              <w:t xml:space="preserve">assessed through </w:t>
            </w:r>
            <w:r w:rsidR="001D5F97" w:rsidRPr="00B7395D">
              <w:rPr>
                <w:rFonts w:ascii="Verdana" w:hAnsi="Verdana" w:cs="Arial"/>
                <w:color w:val="000000" w:themeColor="text1"/>
                <w:sz w:val="22"/>
                <w:szCs w:val="22"/>
              </w:rPr>
              <w:t xml:space="preserve">the service </w:t>
            </w:r>
            <w:r w:rsidRPr="00B7395D">
              <w:rPr>
                <w:rFonts w:ascii="Verdana" w:hAnsi="Verdana" w:cs="Arial"/>
                <w:color w:val="000000" w:themeColor="text1"/>
                <w:sz w:val="22"/>
                <w:szCs w:val="22"/>
              </w:rPr>
              <w:t>to support</w:t>
            </w:r>
            <w:r w:rsidR="00BE08E1">
              <w:rPr>
                <w:rFonts w:ascii="Verdana" w:hAnsi="Verdana" w:cs="Arial"/>
                <w:color w:val="000000" w:themeColor="text1"/>
                <w:sz w:val="22"/>
                <w:szCs w:val="22"/>
              </w:rPr>
              <w:t xml:space="preserve"> audit against national standards and patient</w:t>
            </w:r>
            <w:r w:rsidRPr="00B7395D">
              <w:rPr>
                <w:rFonts w:ascii="Verdana" w:hAnsi="Verdana" w:cs="Arial"/>
                <w:color w:val="000000" w:themeColor="text1"/>
                <w:sz w:val="22"/>
                <w:szCs w:val="22"/>
              </w:rPr>
              <w:t xml:space="preserve"> follow up</w:t>
            </w:r>
            <w:r w:rsidR="00BE08E1">
              <w:rPr>
                <w:rFonts w:ascii="Verdana" w:hAnsi="Verdana" w:cs="Arial"/>
                <w:color w:val="000000" w:themeColor="text1"/>
                <w:sz w:val="22"/>
                <w:szCs w:val="22"/>
              </w:rPr>
              <w:t xml:space="preserve">. </w:t>
            </w:r>
          </w:p>
          <w:p w14:paraId="01C541CC" w14:textId="061794DF" w:rsidR="00BE08E1" w:rsidRPr="00BE08E1" w:rsidRDefault="00BE08E1"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 xml:space="preserve">Survey of patient experience </w:t>
            </w:r>
          </w:p>
          <w:p w14:paraId="0779CFDB" w14:textId="6B663831" w:rsidR="00BE08E1" w:rsidRPr="00B7395D" w:rsidRDefault="00BE08E1"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 xml:space="preserve">Participation in </w:t>
            </w:r>
            <w:hyperlink r:id="rId17" w:history="1">
              <w:r w:rsidR="00B73CB9" w:rsidRPr="0065043F">
                <w:rPr>
                  <w:rStyle w:val="Hyperlink"/>
                  <w:rFonts w:ascii="Verdana" w:hAnsi="Verdana" w:cs="Arial"/>
                  <w:sz w:val="22"/>
                  <w:szCs w:val="22"/>
                </w:rPr>
                <w:t>Fracture Liaison Service Database</w:t>
              </w:r>
            </w:hyperlink>
            <w:r w:rsidR="00B73CB9">
              <w:rPr>
                <w:rFonts w:ascii="Verdana" w:hAnsi="Verdana" w:cs="Arial"/>
                <w:color w:val="000000" w:themeColor="text1"/>
                <w:sz w:val="22"/>
                <w:szCs w:val="22"/>
              </w:rPr>
              <w:t xml:space="preserve"> </w:t>
            </w:r>
          </w:p>
          <w:p w14:paraId="6727C67F" w14:textId="77777777" w:rsidR="005769C2" w:rsidRPr="00B7395D" w:rsidRDefault="00E85AA4" w:rsidP="005769C2">
            <w:pPr>
              <w:spacing w:after="120"/>
              <w:ind w:left="357"/>
              <w:rPr>
                <w:rFonts w:ascii="Verdana" w:hAnsi="Verdana" w:cs="Arial"/>
                <w:b/>
                <w:szCs w:val="22"/>
                <w:lang w:val="en-GB"/>
              </w:rPr>
            </w:pPr>
            <w:r w:rsidRPr="00B7395D">
              <w:rPr>
                <w:rFonts w:ascii="Verdana" w:hAnsi="Verdana" w:cs="Arial"/>
                <w:b/>
                <w:sz w:val="22"/>
                <w:szCs w:val="22"/>
                <w:lang w:val="en-GB"/>
              </w:rPr>
              <w:t xml:space="preserve"> </w:t>
            </w:r>
            <w:r w:rsidR="005769C2" w:rsidRPr="00B7395D">
              <w:rPr>
                <w:rFonts w:ascii="Verdana" w:hAnsi="Verdana" w:cs="Arial"/>
                <w:b/>
                <w:sz w:val="22"/>
                <w:szCs w:val="22"/>
                <w:lang w:val="en-GB"/>
              </w:rPr>
              <w:t>[Edit this list and/or insert local aims and objectives]</w:t>
            </w:r>
          </w:p>
          <w:p w14:paraId="7BF6E0F9" w14:textId="77777777" w:rsidR="00794DF7" w:rsidRDefault="00794DF7" w:rsidP="00C51FC2">
            <w:pPr>
              <w:spacing w:after="120"/>
              <w:ind w:left="357"/>
              <w:rPr>
                <w:rFonts w:ascii="Verdana" w:hAnsi="Verdana" w:cs="Arial"/>
                <w:b/>
                <w:szCs w:val="22"/>
                <w:lang w:val="en-GB"/>
              </w:rPr>
            </w:pPr>
            <w:bookmarkStart w:id="1" w:name="_GoBack"/>
            <w:bookmarkEnd w:id="1"/>
          </w:p>
          <w:p w14:paraId="4921A21F" w14:textId="77777777" w:rsidR="00270BD2" w:rsidRPr="00B7395D" w:rsidRDefault="00270BD2" w:rsidP="00C51FC2">
            <w:pPr>
              <w:spacing w:after="120"/>
              <w:ind w:left="357"/>
              <w:rPr>
                <w:rFonts w:ascii="Verdana" w:hAnsi="Verdana" w:cs="Arial"/>
                <w:b/>
                <w:szCs w:val="22"/>
                <w:lang w:val="en-GB"/>
              </w:rPr>
            </w:pPr>
            <w:r w:rsidRPr="00B7395D">
              <w:rPr>
                <w:rFonts w:ascii="Verdana" w:hAnsi="Verdana" w:cs="Arial"/>
                <w:b/>
                <w:sz w:val="22"/>
                <w:szCs w:val="22"/>
                <w:lang w:val="en-GB"/>
              </w:rPr>
              <w:t>Service Delivery</w:t>
            </w:r>
          </w:p>
          <w:p w14:paraId="2A556E3B" w14:textId="77777777" w:rsidR="00E704E1" w:rsidRPr="00B7395D" w:rsidRDefault="00E85AA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The service shall operate </w:t>
            </w:r>
            <w:r w:rsidRPr="00B7395D">
              <w:rPr>
                <w:rFonts w:ascii="Verdana" w:hAnsi="Verdana" w:cs="Arial"/>
                <w:b/>
                <w:color w:val="000000" w:themeColor="text1"/>
                <w:sz w:val="22"/>
                <w:szCs w:val="22"/>
              </w:rPr>
              <w:t>[insert hours/days here]</w:t>
            </w:r>
          </w:p>
          <w:p w14:paraId="2A72A7A6" w14:textId="77777777" w:rsidR="00E704E1" w:rsidRPr="00B7395D" w:rsidRDefault="00E85AA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During operating hour</w:t>
            </w:r>
            <w:r w:rsidR="00C11201" w:rsidRPr="00B7395D">
              <w:rPr>
                <w:rFonts w:ascii="Verdana" w:hAnsi="Verdana" w:cs="Arial"/>
                <w:color w:val="000000" w:themeColor="text1"/>
                <w:sz w:val="22"/>
                <w:szCs w:val="22"/>
              </w:rPr>
              <w:t xml:space="preserve">s the service shall respond to requests for assessment within </w:t>
            </w:r>
            <w:r w:rsidR="00C11201" w:rsidRPr="00B7395D">
              <w:rPr>
                <w:rFonts w:ascii="Verdana" w:hAnsi="Verdana" w:cs="Arial"/>
                <w:b/>
                <w:color w:val="000000" w:themeColor="text1"/>
                <w:sz w:val="22"/>
                <w:szCs w:val="22"/>
              </w:rPr>
              <w:t>[X]</w:t>
            </w:r>
            <w:r w:rsidR="00C11201" w:rsidRPr="00B7395D">
              <w:rPr>
                <w:rFonts w:ascii="Verdana" w:hAnsi="Verdana" w:cs="Arial"/>
                <w:color w:val="000000" w:themeColor="text1"/>
                <w:sz w:val="22"/>
                <w:szCs w:val="22"/>
              </w:rPr>
              <w:t xml:space="preserve"> hours by telephone</w:t>
            </w:r>
          </w:p>
          <w:p w14:paraId="0B965975" w14:textId="2E1F5F5D" w:rsidR="00E704E1" w:rsidRPr="00B7395D" w:rsidRDefault="00C11201"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During operating hours the service shall carry out an assessment within </w:t>
            </w:r>
            <w:r w:rsidR="00794DF7">
              <w:rPr>
                <w:rFonts w:ascii="Verdana" w:hAnsi="Verdana" w:cs="Arial"/>
                <w:b/>
                <w:color w:val="000000" w:themeColor="text1"/>
                <w:sz w:val="22"/>
                <w:szCs w:val="22"/>
              </w:rPr>
              <w:t>[X hours/</w:t>
            </w:r>
            <w:r w:rsidRPr="00B7395D">
              <w:rPr>
                <w:rFonts w:ascii="Verdana" w:hAnsi="Verdana" w:cs="Arial"/>
                <w:b/>
                <w:color w:val="000000" w:themeColor="text1"/>
                <w:sz w:val="22"/>
                <w:szCs w:val="22"/>
              </w:rPr>
              <w:t xml:space="preserve">days] </w:t>
            </w:r>
            <w:r w:rsidRPr="00B7395D">
              <w:rPr>
                <w:rFonts w:ascii="Verdana" w:hAnsi="Verdana" w:cs="Arial"/>
                <w:color w:val="000000" w:themeColor="text1"/>
                <w:sz w:val="22"/>
                <w:szCs w:val="22"/>
              </w:rPr>
              <w:t>of request</w:t>
            </w:r>
          </w:p>
          <w:p w14:paraId="21F2A24A" w14:textId="77777777" w:rsidR="00E704E1" w:rsidRPr="00B7395D" w:rsidRDefault="004F6E3C"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Admitted patients who are not ambulatory will be assessed at bedside</w:t>
            </w:r>
          </w:p>
          <w:p w14:paraId="7448C0FA" w14:textId="049A36C0" w:rsidR="00E704E1" w:rsidRPr="00B7395D" w:rsidRDefault="00C11201"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The service </w:t>
            </w:r>
            <w:r w:rsidR="004F6E3C" w:rsidRPr="00B7395D">
              <w:rPr>
                <w:rFonts w:ascii="Verdana" w:hAnsi="Verdana" w:cs="Arial"/>
                <w:b/>
                <w:color w:val="000000" w:themeColor="text1"/>
                <w:sz w:val="22"/>
                <w:szCs w:val="22"/>
              </w:rPr>
              <w:t>[</w:t>
            </w:r>
            <w:r w:rsidRPr="00B7395D">
              <w:rPr>
                <w:rFonts w:ascii="Verdana" w:hAnsi="Verdana" w:cs="Arial"/>
                <w:b/>
                <w:color w:val="000000" w:themeColor="text1"/>
                <w:sz w:val="22"/>
                <w:szCs w:val="22"/>
              </w:rPr>
              <w:t>will</w:t>
            </w:r>
            <w:r w:rsidR="00794DF7">
              <w:rPr>
                <w:rFonts w:ascii="Verdana" w:hAnsi="Verdana" w:cs="Arial"/>
                <w:b/>
                <w:color w:val="000000" w:themeColor="text1"/>
                <w:sz w:val="22"/>
                <w:szCs w:val="22"/>
              </w:rPr>
              <w:t>/</w:t>
            </w:r>
            <w:r w:rsidR="004F6E3C" w:rsidRPr="00B7395D">
              <w:rPr>
                <w:rFonts w:ascii="Verdana" w:hAnsi="Verdana" w:cs="Arial"/>
                <w:b/>
                <w:color w:val="000000" w:themeColor="text1"/>
                <w:sz w:val="22"/>
                <w:szCs w:val="22"/>
              </w:rPr>
              <w:t>will not]</w:t>
            </w:r>
            <w:r w:rsidR="004F6E3C" w:rsidRPr="00B7395D">
              <w:rPr>
                <w:rFonts w:ascii="Verdana" w:hAnsi="Verdana" w:cs="Arial"/>
                <w:color w:val="000000" w:themeColor="text1"/>
                <w:sz w:val="22"/>
                <w:szCs w:val="22"/>
              </w:rPr>
              <w:t xml:space="preserve"> carry out assessments of patients in ca</w:t>
            </w:r>
            <w:r w:rsidR="003A13F6" w:rsidRPr="00B7395D">
              <w:rPr>
                <w:rFonts w:ascii="Verdana" w:hAnsi="Verdana" w:cs="Arial"/>
                <w:color w:val="000000" w:themeColor="text1"/>
                <w:sz w:val="22"/>
                <w:szCs w:val="22"/>
              </w:rPr>
              <w:t>re homes or community hospitals</w:t>
            </w:r>
            <w:r w:rsidRPr="00B7395D">
              <w:rPr>
                <w:rFonts w:ascii="Verdana" w:hAnsi="Verdana" w:cs="Arial"/>
                <w:color w:val="000000" w:themeColor="text1"/>
                <w:sz w:val="22"/>
                <w:szCs w:val="22"/>
              </w:rPr>
              <w:t xml:space="preserve"> </w:t>
            </w:r>
          </w:p>
          <w:p w14:paraId="26203DB1" w14:textId="77777777" w:rsidR="00075A83" w:rsidRPr="00B7395D" w:rsidRDefault="004F6E3C" w:rsidP="004F6E3C">
            <w:pPr>
              <w:spacing w:after="120"/>
              <w:ind w:left="380"/>
              <w:rPr>
                <w:rFonts w:ascii="Verdana" w:eastAsia="Times New Roman" w:hAnsi="Verdana" w:cs="Arial"/>
                <w:b/>
                <w:color w:val="000000" w:themeColor="text1"/>
                <w:szCs w:val="22"/>
                <w:lang w:val="en-GB" w:eastAsia="en-GB"/>
              </w:rPr>
            </w:pPr>
            <w:r w:rsidRPr="00B7395D">
              <w:rPr>
                <w:rFonts w:ascii="Verdana" w:eastAsia="Times New Roman" w:hAnsi="Verdana" w:cs="Arial"/>
                <w:b/>
                <w:color w:val="000000" w:themeColor="text1"/>
                <w:sz w:val="22"/>
                <w:szCs w:val="22"/>
                <w:lang w:val="en-GB" w:eastAsia="en-GB"/>
              </w:rPr>
              <w:t xml:space="preserve">[Local discussion will be needed on whether the service will include domiciliary visits and other outreach elements] </w:t>
            </w:r>
          </w:p>
          <w:p w14:paraId="3DEB8758" w14:textId="77777777" w:rsidR="00194D0B" w:rsidRPr="00B7395D" w:rsidRDefault="00194D0B" w:rsidP="004F6E3C">
            <w:pPr>
              <w:spacing w:after="120"/>
              <w:ind w:left="380"/>
              <w:rPr>
                <w:rFonts w:ascii="Verdana" w:eastAsia="Times New Roman" w:hAnsi="Verdana" w:cs="Arial"/>
                <w:b/>
                <w:color w:val="000000" w:themeColor="text1"/>
                <w:szCs w:val="22"/>
                <w:lang w:val="en-GB" w:eastAsia="en-GB"/>
              </w:rPr>
            </w:pPr>
          </w:p>
          <w:p w14:paraId="0FB3FEDB" w14:textId="77777777" w:rsidR="00075A83" w:rsidRPr="00B7395D" w:rsidRDefault="00476FF5" w:rsidP="000B2192">
            <w:pPr>
              <w:spacing w:after="120"/>
              <w:rPr>
                <w:rFonts w:ascii="Verdana" w:hAnsi="Verdana" w:cs="Arial"/>
                <w:b/>
                <w:color w:val="009966"/>
                <w:sz w:val="28"/>
                <w:szCs w:val="28"/>
                <w:lang w:val="en-GB"/>
              </w:rPr>
            </w:pPr>
            <w:r w:rsidRPr="00B7395D">
              <w:rPr>
                <w:rFonts w:ascii="Verdana" w:hAnsi="Verdana" w:cs="Arial"/>
                <w:b/>
                <w:color w:val="009966"/>
                <w:sz w:val="28"/>
                <w:szCs w:val="28"/>
                <w:lang w:val="en-GB"/>
              </w:rPr>
              <w:t xml:space="preserve">3.3  </w:t>
            </w:r>
            <w:r w:rsidR="00075A83" w:rsidRPr="00B7395D">
              <w:rPr>
                <w:rFonts w:ascii="Verdana" w:hAnsi="Verdana" w:cs="Arial"/>
                <w:b/>
                <w:color w:val="009966"/>
                <w:sz w:val="28"/>
                <w:szCs w:val="28"/>
                <w:lang w:val="en-GB"/>
              </w:rPr>
              <w:t>Population covered</w:t>
            </w:r>
          </w:p>
          <w:p w14:paraId="0744E0C4" w14:textId="77777777" w:rsidR="00F95D8E" w:rsidRPr="00B7395D" w:rsidRDefault="00476FF5" w:rsidP="004F6E3C">
            <w:pPr>
              <w:spacing w:after="120"/>
              <w:ind w:left="357"/>
              <w:rPr>
                <w:rFonts w:ascii="Verdana" w:hAnsi="Verdana" w:cs="Arial"/>
                <w:szCs w:val="22"/>
                <w:lang w:val="en-GB"/>
              </w:rPr>
            </w:pPr>
            <w:r w:rsidRPr="00B7395D">
              <w:rPr>
                <w:rFonts w:ascii="Verdana" w:hAnsi="Verdana" w:cs="Arial"/>
                <w:sz w:val="22"/>
                <w:szCs w:val="22"/>
                <w:lang w:val="en-GB"/>
              </w:rPr>
              <w:t>The service will</w:t>
            </w:r>
            <w:r w:rsidR="00F95D8E" w:rsidRPr="00B7395D">
              <w:rPr>
                <w:rFonts w:ascii="Verdana" w:hAnsi="Verdana" w:cs="Arial"/>
                <w:sz w:val="22"/>
                <w:szCs w:val="22"/>
                <w:lang w:val="en-GB"/>
              </w:rPr>
              <w:t xml:space="preserve"> assess and manage the bone </w:t>
            </w:r>
            <w:r w:rsidR="00B652F7" w:rsidRPr="00B7395D">
              <w:rPr>
                <w:rFonts w:ascii="Verdana" w:hAnsi="Verdana" w:cs="Arial"/>
                <w:sz w:val="22"/>
                <w:szCs w:val="22"/>
                <w:lang w:val="en-GB"/>
              </w:rPr>
              <w:t xml:space="preserve">health </w:t>
            </w:r>
            <w:r w:rsidR="00F95D8E" w:rsidRPr="00B7395D">
              <w:rPr>
                <w:rFonts w:ascii="Verdana" w:hAnsi="Verdana" w:cs="Arial"/>
                <w:sz w:val="22"/>
                <w:szCs w:val="22"/>
                <w:lang w:val="en-GB"/>
              </w:rPr>
              <w:t>of all patients over 50 who have suffered a fragility fracture to prevent subsequent fractures.</w:t>
            </w:r>
          </w:p>
          <w:p w14:paraId="786F846F" w14:textId="77777777" w:rsidR="00476FF5" w:rsidRPr="00B7395D" w:rsidRDefault="00476FF5" w:rsidP="00F95D8E">
            <w:pPr>
              <w:spacing w:after="120"/>
              <w:ind w:left="357"/>
              <w:rPr>
                <w:rFonts w:ascii="Verdana" w:hAnsi="Verdana" w:cs="Arial"/>
                <w:szCs w:val="22"/>
                <w:lang w:val="en-GB"/>
              </w:rPr>
            </w:pPr>
            <w:r w:rsidRPr="00B7395D">
              <w:rPr>
                <w:rFonts w:ascii="Verdana" w:hAnsi="Verdana" w:cs="Arial"/>
                <w:sz w:val="22"/>
                <w:szCs w:val="22"/>
                <w:lang w:val="en-GB"/>
              </w:rPr>
              <w:t>The service will be available to</w:t>
            </w:r>
            <w:r w:rsidR="00C11201" w:rsidRPr="00B7395D">
              <w:rPr>
                <w:rFonts w:ascii="Verdana" w:hAnsi="Verdana" w:cs="Arial"/>
                <w:sz w:val="22"/>
                <w:szCs w:val="22"/>
                <w:lang w:val="en-GB"/>
              </w:rPr>
              <w:t>:</w:t>
            </w:r>
            <w:r w:rsidRPr="00B7395D">
              <w:rPr>
                <w:rFonts w:ascii="Verdana" w:hAnsi="Verdana" w:cs="Arial"/>
                <w:sz w:val="22"/>
                <w:szCs w:val="22"/>
                <w:lang w:val="en-GB"/>
              </w:rPr>
              <w:t xml:space="preserve"> </w:t>
            </w:r>
          </w:p>
          <w:p w14:paraId="6938903B" w14:textId="77777777" w:rsidR="00E704E1" w:rsidRPr="00B7395D" w:rsidRDefault="00476FF5"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All patients admitted to </w:t>
            </w:r>
            <w:r w:rsidRPr="00B7395D">
              <w:rPr>
                <w:rFonts w:ascii="Verdana" w:hAnsi="Verdana" w:cs="Arial"/>
                <w:b/>
                <w:color w:val="000000" w:themeColor="text1"/>
                <w:sz w:val="22"/>
                <w:szCs w:val="22"/>
              </w:rPr>
              <w:t>[name of hospital]</w:t>
            </w:r>
          </w:p>
          <w:p w14:paraId="3A0215A7" w14:textId="2B330D90" w:rsidR="00E704E1" w:rsidRPr="00B7395D" w:rsidRDefault="00476FF5"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All patients registered with a GP practice in </w:t>
            </w:r>
            <w:r w:rsidRPr="00B7395D">
              <w:rPr>
                <w:rFonts w:ascii="Verdana" w:hAnsi="Verdana" w:cs="Arial"/>
                <w:b/>
                <w:color w:val="000000" w:themeColor="text1"/>
                <w:sz w:val="22"/>
                <w:szCs w:val="22"/>
              </w:rPr>
              <w:t>[name of CCG]</w:t>
            </w:r>
            <w:r w:rsidRPr="00B7395D">
              <w:rPr>
                <w:rFonts w:ascii="Verdana" w:hAnsi="Verdana" w:cs="Arial"/>
                <w:color w:val="000000" w:themeColor="text1"/>
                <w:sz w:val="22"/>
                <w:szCs w:val="22"/>
              </w:rPr>
              <w:t xml:space="preserve"> or resident in </w:t>
            </w:r>
            <w:r w:rsidRPr="00B7395D">
              <w:rPr>
                <w:rFonts w:ascii="Verdana" w:hAnsi="Verdana" w:cs="Arial"/>
                <w:b/>
                <w:color w:val="000000" w:themeColor="text1"/>
                <w:sz w:val="22"/>
                <w:szCs w:val="22"/>
              </w:rPr>
              <w:t>[name of local authority(ies)]</w:t>
            </w:r>
          </w:p>
          <w:p w14:paraId="7D0588EC" w14:textId="77777777" w:rsidR="00075A83" w:rsidRPr="00B7395D" w:rsidRDefault="00C11201" w:rsidP="00C11201">
            <w:pPr>
              <w:spacing w:after="120"/>
              <w:ind w:left="357"/>
              <w:rPr>
                <w:rFonts w:ascii="Verdana" w:hAnsi="Verdana" w:cs="Arial"/>
                <w:b/>
                <w:szCs w:val="22"/>
                <w:lang w:val="en-GB"/>
              </w:rPr>
            </w:pPr>
            <w:r w:rsidRPr="00B7395D">
              <w:rPr>
                <w:rFonts w:ascii="Verdana" w:hAnsi="Verdana" w:cs="Arial"/>
                <w:b/>
                <w:sz w:val="22"/>
                <w:szCs w:val="22"/>
                <w:lang w:val="en-GB"/>
              </w:rPr>
              <w:t>[</w:t>
            </w:r>
            <w:r w:rsidR="003A13F6" w:rsidRPr="00B7395D">
              <w:rPr>
                <w:rFonts w:ascii="Verdana" w:hAnsi="Verdana" w:cs="Arial"/>
                <w:b/>
                <w:sz w:val="22"/>
                <w:szCs w:val="22"/>
                <w:lang w:val="en-GB"/>
              </w:rPr>
              <w:t>E</w:t>
            </w:r>
            <w:r w:rsidRPr="00B7395D">
              <w:rPr>
                <w:rFonts w:ascii="Verdana" w:hAnsi="Verdana" w:cs="Arial"/>
                <w:b/>
                <w:sz w:val="22"/>
                <w:szCs w:val="22"/>
                <w:lang w:val="en-GB"/>
              </w:rPr>
              <w:t>dit above as appropriate]</w:t>
            </w:r>
          </w:p>
          <w:p w14:paraId="5862BD18" w14:textId="77777777" w:rsidR="00194D0B" w:rsidRDefault="00194D0B" w:rsidP="00C11201">
            <w:pPr>
              <w:spacing w:after="120"/>
              <w:ind w:left="357"/>
              <w:rPr>
                <w:rFonts w:ascii="Verdana" w:hAnsi="Verdana" w:cs="Arial"/>
                <w:b/>
                <w:szCs w:val="22"/>
                <w:lang w:val="en-GB"/>
              </w:rPr>
            </w:pPr>
          </w:p>
          <w:p w14:paraId="5EFD2931" w14:textId="77777777" w:rsidR="007D3594" w:rsidRPr="00B7395D" w:rsidRDefault="007D3594" w:rsidP="00C11201">
            <w:pPr>
              <w:spacing w:after="120"/>
              <w:ind w:left="357"/>
              <w:rPr>
                <w:rFonts w:ascii="Verdana" w:hAnsi="Verdana" w:cs="Arial"/>
                <w:b/>
                <w:szCs w:val="22"/>
                <w:lang w:val="en-GB"/>
              </w:rPr>
            </w:pPr>
          </w:p>
          <w:p w14:paraId="31223716" w14:textId="77777777" w:rsidR="00075A83" w:rsidRPr="00B7395D" w:rsidRDefault="00476FF5" w:rsidP="000B2192">
            <w:pPr>
              <w:spacing w:after="120"/>
              <w:rPr>
                <w:rFonts w:ascii="Verdana" w:hAnsi="Verdana" w:cs="Arial"/>
                <w:b/>
                <w:color w:val="009966"/>
                <w:sz w:val="28"/>
                <w:szCs w:val="28"/>
                <w:lang w:val="en-GB"/>
              </w:rPr>
            </w:pPr>
            <w:r w:rsidRPr="00B7395D">
              <w:rPr>
                <w:rFonts w:ascii="Verdana" w:hAnsi="Verdana" w:cs="Arial"/>
                <w:b/>
                <w:color w:val="009966"/>
                <w:sz w:val="28"/>
                <w:szCs w:val="28"/>
                <w:lang w:val="en-GB"/>
              </w:rPr>
              <w:t xml:space="preserve">3.4  </w:t>
            </w:r>
            <w:r w:rsidR="00075A83" w:rsidRPr="00B7395D">
              <w:rPr>
                <w:rFonts w:ascii="Verdana" w:hAnsi="Verdana" w:cs="Arial"/>
                <w:b/>
                <w:color w:val="009966"/>
                <w:sz w:val="28"/>
                <w:szCs w:val="28"/>
                <w:lang w:val="en-GB"/>
              </w:rPr>
              <w:t>Any acceptance and exclusion criteria and thresholds</w:t>
            </w:r>
          </w:p>
          <w:p w14:paraId="08A80B41" w14:textId="77777777" w:rsidR="00B642FB" w:rsidRPr="00B7395D" w:rsidRDefault="006F2D9D" w:rsidP="00B642FB">
            <w:pPr>
              <w:spacing w:after="120"/>
              <w:ind w:left="357"/>
              <w:rPr>
                <w:rFonts w:ascii="Verdana" w:hAnsi="Verdana" w:cs="Arial"/>
                <w:szCs w:val="22"/>
                <w:lang w:val="en-GB"/>
              </w:rPr>
            </w:pPr>
            <w:r w:rsidRPr="00B7395D">
              <w:rPr>
                <w:rFonts w:ascii="Verdana" w:hAnsi="Verdana" w:cs="Arial"/>
                <w:sz w:val="22"/>
                <w:szCs w:val="22"/>
                <w:lang w:val="en-GB"/>
              </w:rPr>
              <w:t>The service will</w:t>
            </w:r>
            <w:r w:rsidR="003A4A55" w:rsidRPr="00B7395D">
              <w:rPr>
                <w:rFonts w:ascii="Verdana" w:hAnsi="Verdana" w:cs="Arial"/>
                <w:sz w:val="22"/>
                <w:szCs w:val="22"/>
                <w:lang w:val="en-GB"/>
              </w:rPr>
              <w:t xml:space="preserve"> accept and manage </w:t>
            </w:r>
            <w:r w:rsidR="00B642FB" w:rsidRPr="00B7395D">
              <w:rPr>
                <w:rFonts w:ascii="Verdana" w:hAnsi="Verdana" w:cs="Arial"/>
                <w:sz w:val="22"/>
                <w:szCs w:val="22"/>
                <w:lang w:val="en-GB"/>
              </w:rPr>
              <w:t>the assessment of osteoporosis and future fracture risk of all patients over 50 who have suffered a fragility fracture to prevent subsequent fractures.</w:t>
            </w:r>
          </w:p>
          <w:p w14:paraId="31C4824C" w14:textId="77777777" w:rsidR="00312FA1" w:rsidRPr="00B7395D" w:rsidRDefault="00C11201" w:rsidP="004F6E3C">
            <w:pPr>
              <w:pStyle w:val="Default"/>
              <w:spacing w:after="120"/>
              <w:ind w:left="357"/>
              <w:rPr>
                <w:rFonts w:ascii="Verdana" w:eastAsiaTheme="minorEastAsia" w:hAnsi="Verdana" w:cs="Arial"/>
                <w:color w:val="auto"/>
                <w:sz w:val="22"/>
                <w:szCs w:val="22"/>
                <w:lang w:eastAsia="ja-JP"/>
              </w:rPr>
            </w:pPr>
            <w:r w:rsidRPr="00B7395D">
              <w:rPr>
                <w:rFonts w:ascii="Verdana" w:eastAsiaTheme="minorEastAsia" w:hAnsi="Verdana" w:cs="Arial"/>
                <w:color w:val="auto"/>
                <w:sz w:val="22"/>
                <w:szCs w:val="22"/>
                <w:lang w:eastAsia="ja-JP"/>
              </w:rPr>
              <w:t xml:space="preserve">Referrals are accepted from: </w:t>
            </w:r>
          </w:p>
          <w:p w14:paraId="5AC7749A" w14:textId="77777777" w:rsidR="00E704E1" w:rsidRPr="00B7395D" w:rsidRDefault="003A4A55"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M</w:t>
            </w:r>
            <w:r w:rsidR="00C11201" w:rsidRPr="00B7395D">
              <w:rPr>
                <w:rFonts w:ascii="Verdana" w:hAnsi="Verdana" w:cs="Arial"/>
                <w:color w:val="000000" w:themeColor="text1"/>
                <w:sz w:val="22"/>
                <w:szCs w:val="22"/>
              </w:rPr>
              <w:t>edical Assessment Unit</w:t>
            </w:r>
          </w:p>
          <w:p w14:paraId="30D10D5D" w14:textId="77777777" w:rsidR="00E704E1" w:rsidRPr="009D2712" w:rsidRDefault="00794DF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Fracture c</w:t>
            </w:r>
            <w:r w:rsidR="00C11201" w:rsidRPr="00B7395D">
              <w:rPr>
                <w:rFonts w:ascii="Verdana" w:hAnsi="Verdana" w:cs="Arial"/>
                <w:color w:val="000000" w:themeColor="text1"/>
                <w:sz w:val="22"/>
                <w:szCs w:val="22"/>
              </w:rPr>
              <w:t>linic</w:t>
            </w:r>
          </w:p>
          <w:p w14:paraId="5EFA8552" w14:textId="77777777" w:rsidR="009D2712" w:rsidRPr="00B7395D" w:rsidRDefault="009D2712"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Falls team (if separate from above)</w:t>
            </w:r>
          </w:p>
          <w:p w14:paraId="4BD98124" w14:textId="609C0E6C" w:rsidR="00E704E1" w:rsidRPr="00B7395D" w:rsidRDefault="006065E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 xml:space="preserve">Inpatient </w:t>
            </w:r>
            <w:r w:rsidR="00C11201" w:rsidRPr="00B7395D">
              <w:rPr>
                <w:rFonts w:ascii="Verdana" w:hAnsi="Verdana" w:cs="Arial"/>
                <w:color w:val="000000" w:themeColor="text1"/>
                <w:sz w:val="22"/>
                <w:szCs w:val="22"/>
              </w:rPr>
              <w:t>wards</w:t>
            </w:r>
          </w:p>
          <w:p w14:paraId="723C208F" w14:textId="77777777" w:rsidR="00E704E1" w:rsidRPr="006065E7" w:rsidRDefault="00C11201"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Emergency department</w:t>
            </w:r>
          </w:p>
          <w:p w14:paraId="07BA1007" w14:textId="77777777" w:rsidR="009D2712" w:rsidRPr="008E637D" w:rsidRDefault="006065E7" w:rsidP="009D2712">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Radiology</w:t>
            </w:r>
          </w:p>
          <w:p w14:paraId="08059C9C" w14:textId="77777777" w:rsidR="00E704E1" w:rsidRPr="00B7395D" w:rsidRDefault="003A4A55"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GPs</w:t>
            </w:r>
          </w:p>
          <w:p w14:paraId="5A55CBC3" w14:textId="77777777" w:rsidR="00E704E1" w:rsidRPr="00B7395D" w:rsidRDefault="00C11201"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Community nurses</w:t>
            </w:r>
          </w:p>
          <w:p w14:paraId="2876CF6F" w14:textId="77777777" w:rsidR="00E704E1" w:rsidRPr="00B7395D" w:rsidRDefault="00C11201"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Community hospital</w:t>
            </w:r>
          </w:p>
          <w:p w14:paraId="710095C3" w14:textId="77777777" w:rsidR="00466D87" w:rsidRPr="00B7395D" w:rsidRDefault="00EF30D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Physio</w:t>
            </w:r>
            <w:r w:rsidR="00794DF7">
              <w:rPr>
                <w:rFonts w:ascii="Verdana" w:hAnsi="Verdana" w:cs="Arial"/>
                <w:color w:val="000000" w:themeColor="text1"/>
                <w:sz w:val="22"/>
                <w:szCs w:val="22"/>
              </w:rPr>
              <w:t>therapists</w:t>
            </w:r>
          </w:p>
          <w:p w14:paraId="3E7E3BC6" w14:textId="5DE23F84" w:rsidR="00EF30D2" w:rsidRPr="00B7395D" w:rsidRDefault="00466D87"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Other AHPs</w:t>
            </w:r>
          </w:p>
          <w:p w14:paraId="0BC7DDFE" w14:textId="77777777" w:rsidR="00C11201" w:rsidRPr="00B7395D" w:rsidRDefault="00C11201" w:rsidP="00C11201">
            <w:pPr>
              <w:spacing w:after="120"/>
              <w:ind w:left="357"/>
              <w:rPr>
                <w:rFonts w:ascii="Verdana" w:hAnsi="Verdana" w:cs="Arial"/>
                <w:b/>
                <w:szCs w:val="22"/>
                <w:lang w:val="en-GB"/>
              </w:rPr>
            </w:pPr>
            <w:r w:rsidRPr="00B7395D">
              <w:rPr>
                <w:rFonts w:ascii="Verdana" w:hAnsi="Verdana" w:cs="Arial"/>
                <w:b/>
                <w:sz w:val="22"/>
                <w:szCs w:val="22"/>
                <w:lang w:val="en-GB"/>
              </w:rPr>
              <w:t>[edit above as appropriate]</w:t>
            </w:r>
          </w:p>
          <w:p w14:paraId="0D9C228F" w14:textId="77777777" w:rsidR="00794DF7" w:rsidRDefault="00794DF7" w:rsidP="004F6E3C">
            <w:pPr>
              <w:spacing w:after="120"/>
              <w:ind w:left="340"/>
              <w:rPr>
                <w:rFonts w:ascii="Verdana" w:hAnsi="Verdana" w:cs="Arial"/>
                <w:b/>
                <w:szCs w:val="22"/>
                <w:lang w:val="en-GB"/>
              </w:rPr>
            </w:pPr>
          </w:p>
          <w:p w14:paraId="39E66DCA" w14:textId="77777777" w:rsidR="004F6E3C" w:rsidRPr="00B7395D" w:rsidRDefault="004F6E3C" w:rsidP="004F6E3C">
            <w:pPr>
              <w:spacing w:after="120"/>
              <w:ind w:left="340"/>
              <w:rPr>
                <w:rFonts w:ascii="Verdana" w:hAnsi="Verdana" w:cs="Arial"/>
                <w:b/>
                <w:szCs w:val="22"/>
                <w:lang w:val="en-GB"/>
              </w:rPr>
            </w:pPr>
            <w:r w:rsidRPr="00B7395D">
              <w:rPr>
                <w:rFonts w:ascii="Verdana" w:hAnsi="Verdana" w:cs="Arial"/>
                <w:b/>
                <w:sz w:val="22"/>
                <w:szCs w:val="22"/>
                <w:lang w:val="en-GB"/>
              </w:rPr>
              <w:t>Referral Route</w:t>
            </w:r>
          </w:p>
          <w:p w14:paraId="580EADCE" w14:textId="10961474" w:rsidR="004F6E3C" w:rsidRPr="00B7395D" w:rsidRDefault="004F6E3C" w:rsidP="004F6E3C">
            <w:pPr>
              <w:spacing w:after="120"/>
              <w:ind w:left="340"/>
              <w:rPr>
                <w:rFonts w:ascii="Verdana" w:hAnsi="Verdana" w:cs="Arial"/>
                <w:szCs w:val="22"/>
                <w:lang w:val="en-GB"/>
              </w:rPr>
            </w:pPr>
            <w:r w:rsidRPr="00B7395D">
              <w:rPr>
                <w:rFonts w:ascii="Verdana" w:hAnsi="Verdana" w:cs="Arial"/>
                <w:sz w:val="22"/>
                <w:szCs w:val="22"/>
                <w:lang w:val="en-GB"/>
              </w:rPr>
              <w:t xml:space="preserve">Referrals will be </w:t>
            </w:r>
            <w:r w:rsidR="00B73CB9">
              <w:rPr>
                <w:rFonts w:ascii="Verdana" w:hAnsi="Verdana" w:cs="Arial"/>
                <w:sz w:val="22"/>
                <w:szCs w:val="22"/>
                <w:lang w:val="en-GB"/>
              </w:rPr>
              <w:t>accepted</w:t>
            </w:r>
            <w:r w:rsidRPr="00B7395D">
              <w:rPr>
                <w:rFonts w:ascii="Verdana" w:hAnsi="Verdana" w:cs="Arial"/>
                <w:sz w:val="22"/>
                <w:szCs w:val="22"/>
                <w:lang w:val="en-GB"/>
              </w:rPr>
              <w:t xml:space="preserve"> </w:t>
            </w:r>
            <w:r w:rsidR="00B73CB9">
              <w:rPr>
                <w:rFonts w:ascii="Verdana" w:hAnsi="Verdana" w:cs="Arial"/>
                <w:sz w:val="22"/>
                <w:szCs w:val="22"/>
                <w:lang w:val="en-GB"/>
              </w:rPr>
              <w:t>using the following methods</w:t>
            </w:r>
            <w:r w:rsidRPr="00B7395D">
              <w:rPr>
                <w:rFonts w:ascii="Verdana" w:hAnsi="Verdana" w:cs="Arial"/>
                <w:sz w:val="22"/>
                <w:szCs w:val="22"/>
                <w:lang w:val="en-GB"/>
              </w:rPr>
              <w:t>:</w:t>
            </w:r>
          </w:p>
          <w:p w14:paraId="462EA65B" w14:textId="77777777" w:rsidR="006065E7" w:rsidRPr="006065E7" w:rsidRDefault="006065E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Cs w:val="22"/>
              </w:rPr>
              <w:t>e-referral</w:t>
            </w:r>
          </w:p>
          <w:p w14:paraId="06B0C7D4" w14:textId="77777777" w:rsidR="00E704E1" w:rsidRPr="00B7395D" w:rsidRDefault="004F6E3C"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Letter </w:t>
            </w:r>
            <w:r w:rsidRPr="00B7395D">
              <w:rPr>
                <w:rFonts w:ascii="Verdana" w:hAnsi="Verdana" w:cs="Arial"/>
                <w:b/>
                <w:color w:val="000000" w:themeColor="text1"/>
                <w:sz w:val="22"/>
                <w:szCs w:val="22"/>
              </w:rPr>
              <w:t>[add local information here]</w:t>
            </w:r>
          </w:p>
          <w:p w14:paraId="127E09C8" w14:textId="4DD0A2CE" w:rsidR="00E704E1" w:rsidRPr="00B7395D" w:rsidRDefault="004F6E3C" w:rsidP="003A13F6">
            <w:pPr>
              <w:pStyle w:val="ListParagraph"/>
              <w:numPr>
                <w:ilvl w:val="0"/>
                <w:numId w:val="7"/>
              </w:numPr>
              <w:spacing w:after="120"/>
              <w:ind w:left="720" w:hanging="357"/>
              <w:rPr>
                <w:rFonts w:ascii="Verdana" w:hAnsi="Verdana" w:cs="Arial"/>
                <w:b/>
                <w:szCs w:val="22"/>
              </w:rPr>
            </w:pPr>
            <w:r w:rsidRPr="00B7395D">
              <w:rPr>
                <w:rFonts w:ascii="Verdana" w:hAnsi="Verdana" w:cs="Arial"/>
                <w:sz w:val="22"/>
                <w:szCs w:val="22"/>
              </w:rPr>
              <w:t xml:space="preserve">Electronic mail or message </w:t>
            </w:r>
            <w:r w:rsidRPr="00B7395D">
              <w:rPr>
                <w:rFonts w:ascii="Verdana" w:hAnsi="Verdana" w:cs="Arial"/>
                <w:b/>
                <w:sz w:val="22"/>
                <w:szCs w:val="22"/>
              </w:rPr>
              <w:t>[add local information here]</w:t>
            </w:r>
          </w:p>
          <w:p w14:paraId="084A0059" w14:textId="77777777" w:rsidR="00794DF7" w:rsidRDefault="00794DF7" w:rsidP="004F6E3C">
            <w:pPr>
              <w:spacing w:after="120"/>
              <w:ind w:left="340"/>
              <w:rPr>
                <w:rFonts w:ascii="Verdana" w:hAnsi="Verdana" w:cs="Arial"/>
                <w:b/>
                <w:szCs w:val="22"/>
                <w:lang w:val="en-GB"/>
              </w:rPr>
            </w:pPr>
          </w:p>
          <w:p w14:paraId="19FBFCC6" w14:textId="77777777" w:rsidR="002A4224" w:rsidRPr="00B7395D" w:rsidRDefault="002A4224" w:rsidP="004F6E3C">
            <w:pPr>
              <w:spacing w:after="120"/>
              <w:ind w:left="340"/>
              <w:rPr>
                <w:rFonts w:ascii="Verdana" w:hAnsi="Verdana" w:cs="Arial"/>
                <w:b/>
                <w:szCs w:val="22"/>
                <w:lang w:val="en-GB"/>
              </w:rPr>
            </w:pPr>
            <w:r w:rsidRPr="00B7395D">
              <w:rPr>
                <w:rFonts w:ascii="Verdana" w:hAnsi="Verdana" w:cs="Arial"/>
                <w:b/>
                <w:sz w:val="22"/>
                <w:szCs w:val="22"/>
                <w:lang w:val="en-GB"/>
              </w:rPr>
              <w:t>Exclusion criteria</w:t>
            </w:r>
          </w:p>
          <w:p w14:paraId="731CF25F" w14:textId="77777777" w:rsidR="00B652F7" w:rsidRPr="00B7395D" w:rsidRDefault="00B652F7" w:rsidP="004F6E3C">
            <w:pPr>
              <w:spacing w:after="120"/>
              <w:ind w:left="340"/>
              <w:rPr>
                <w:rFonts w:ascii="Verdana" w:hAnsi="Verdana" w:cs="Arial"/>
                <w:szCs w:val="22"/>
                <w:lang w:val="en-GB"/>
              </w:rPr>
            </w:pPr>
            <w:r w:rsidRPr="00B7395D">
              <w:rPr>
                <w:rFonts w:ascii="Verdana" w:hAnsi="Verdana" w:cs="Arial"/>
                <w:sz w:val="22"/>
                <w:szCs w:val="22"/>
                <w:lang w:val="en-GB"/>
              </w:rPr>
              <w:t>The following categories of patient will be excluded from access to the service:</w:t>
            </w:r>
          </w:p>
          <w:p w14:paraId="388B1A6D" w14:textId="77777777" w:rsidR="00E704E1" w:rsidRPr="00B7395D" w:rsidRDefault="002A422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No evidence of fragility fracture</w:t>
            </w:r>
          </w:p>
          <w:p w14:paraId="4B81A170" w14:textId="77777777" w:rsidR="00E704E1" w:rsidRPr="00B7395D" w:rsidRDefault="002A422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Fragility fracture to </w:t>
            </w:r>
            <w:r w:rsidR="00B73CB9" w:rsidRPr="008E637D">
              <w:rPr>
                <w:rFonts w:ascii="Verdana" w:hAnsi="Verdana" w:cs="Arial"/>
                <w:b/>
                <w:color w:val="000000" w:themeColor="text1"/>
                <w:sz w:val="22"/>
                <w:szCs w:val="22"/>
              </w:rPr>
              <w:t xml:space="preserve">[This needs to be agreed locally, examples of excluded fracture types include: </w:t>
            </w:r>
            <w:r w:rsidRPr="008E637D">
              <w:rPr>
                <w:rFonts w:ascii="Verdana" w:hAnsi="Verdana" w:cs="Arial"/>
                <w:b/>
                <w:color w:val="000000" w:themeColor="text1"/>
                <w:sz w:val="22"/>
                <w:szCs w:val="22"/>
              </w:rPr>
              <w:t>fi</w:t>
            </w:r>
            <w:r w:rsidR="00C82AA9" w:rsidRPr="008E637D">
              <w:rPr>
                <w:rFonts w:ascii="Verdana" w:hAnsi="Verdana" w:cs="Arial"/>
                <w:b/>
                <w:color w:val="000000" w:themeColor="text1"/>
                <w:sz w:val="22"/>
                <w:szCs w:val="22"/>
              </w:rPr>
              <w:t>nger</w:t>
            </w:r>
            <w:r w:rsidRPr="008E637D">
              <w:rPr>
                <w:rFonts w:ascii="Verdana" w:hAnsi="Verdana" w:cs="Arial"/>
                <w:b/>
                <w:color w:val="000000" w:themeColor="text1"/>
                <w:sz w:val="22"/>
                <w:szCs w:val="22"/>
              </w:rPr>
              <w:t>s, toes, scaphoid</w:t>
            </w:r>
            <w:r w:rsidR="00C82AA9" w:rsidRPr="008E637D">
              <w:rPr>
                <w:rFonts w:ascii="Verdana" w:hAnsi="Verdana" w:cs="Arial"/>
                <w:b/>
                <w:color w:val="000000" w:themeColor="text1"/>
                <w:sz w:val="22"/>
                <w:szCs w:val="22"/>
              </w:rPr>
              <w:t>, face or skull</w:t>
            </w:r>
            <w:r w:rsidR="004F6E3C" w:rsidRPr="008E637D">
              <w:rPr>
                <w:rFonts w:ascii="Verdana" w:hAnsi="Verdana" w:cs="Arial"/>
                <w:b/>
                <w:color w:val="000000" w:themeColor="text1"/>
                <w:sz w:val="22"/>
                <w:szCs w:val="22"/>
              </w:rPr>
              <w:t xml:space="preserve"> only</w:t>
            </w:r>
            <w:r w:rsidR="00B73CB9" w:rsidRPr="008E637D">
              <w:rPr>
                <w:rFonts w:ascii="Verdana" w:hAnsi="Verdana" w:cs="Arial"/>
                <w:b/>
                <w:color w:val="000000" w:themeColor="text1"/>
                <w:sz w:val="22"/>
                <w:szCs w:val="22"/>
              </w:rPr>
              <w:t>]</w:t>
            </w:r>
          </w:p>
          <w:p w14:paraId="471B175C" w14:textId="77777777" w:rsidR="00FC15EE" w:rsidRPr="00B7395D" w:rsidRDefault="002A4224"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Fracture due to high trauma or metastasis or other bone pathology</w:t>
            </w:r>
            <w:r w:rsidR="003A13F6" w:rsidRPr="00B7395D">
              <w:rPr>
                <w:rFonts w:ascii="Verdana" w:hAnsi="Verdana" w:cs="Arial"/>
                <w:color w:val="000000" w:themeColor="text1"/>
                <w:sz w:val="22"/>
                <w:szCs w:val="22"/>
              </w:rPr>
              <w:t>.</w:t>
            </w:r>
          </w:p>
          <w:p w14:paraId="755BFDCF" w14:textId="77777777" w:rsidR="00194D0B" w:rsidRPr="00B7395D" w:rsidRDefault="00194D0B" w:rsidP="00194D0B">
            <w:pPr>
              <w:pStyle w:val="ListParagraph"/>
              <w:spacing w:after="120"/>
              <w:rPr>
                <w:rFonts w:ascii="Verdana" w:hAnsi="Verdana" w:cs="Arial"/>
                <w:color w:val="000000" w:themeColor="text1"/>
                <w:szCs w:val="22"/>
              </w:rPr>
            </w:pPr>
          </w:p>
          <w:p w14:paraId="6524E2C9" w14:textId="77777777" w:rsidR="00075A83" w:rsidRPr="00B7395D" w:rsidRDefault="00FC15EE" w:rsidP="000B2192">
            <w:pPr>
              <w:pStyle w:val="ListParagraph"/>
              <w:spacing w:after="120"/>
              <w:ind w:left="0"/>
              <w:rPr>
                <w:rFonts w:ascii="Verdana" w:hAnsi="Verdana" w:cs="Arial"/>
                <w:b/>
                <w:color w:val="009966"/>
                <w:sz w:val="28"/>
                <w:szCs w:val="28"/>
              </w:rPr>
            </w:pPr>
            <w:r w:rsidRPr="00B7395D">
              <w:rPr>
                <w:rFonts w:ascii="Verdana" w:hAnsi="Verdana" w:cs="Arial"/>
                <w:b/>
                <w:color w:val="009966"/>
                <w:sz w:val="28"/>
                <w:szCs w:val="28"/>
              </w:rPr>
              <w:t>3.5</w:t>
            </w:r>
            <w:r w:rsidR="00F257E7" w:rsidRPr="00B7395D">
              <w:rPr>
                <w:rFonts w:ascii="Verdana" w:hAnsi="Verdana" w:cs="Arial"/>
                <w:b/>
                <w:color w:val="009966"/>
                <w:sz w:val="28"/>
                <w:szCs w:val="28"/>
              </w:rPr>
              <w:t xml:space="preserve">   </w:t>
            </w:r>
            <w:r w:rsidR="00075A83" w:rsidRPr="00B7395D">
              <w:rPr>
                <w:rFonts w:ascii="Verdana" w:eastAsiaTheme="minorEastAsia" w:hAnsi="Verdana" w:cs="Arial"/>
                <w:b/>
                <w:color w:val="009966"/>
                <w:sz w:val="28"/>
                <w:szCs w:val="28"/>
                <w:lang w:eastAsia="ja-JP"/>
              </w:rPr>
              <w:t>Interdependence with other services/providers</w:t>
            </w:r>
          </w:p>
          <w:p w14:paraId="531D2B22" w14:textId="77777777" w:rsidR="004F6E3C" w:rsidRPr="00B7395D" w:rsidRDefault="00B652F7" w:rsidP="000B2192">
            <w:pPr>
              <w:pStyle w:val="Default"/>
              <w:spacing w:after="120"/>
              <w:ind w:left="357"/>
              <w:rPr>
                <w:rFonts w:ascii="Verdana" w:hAnsi="Verdana" w:cs="Arial"/>
                <w:sz w:val="22"/>
                <w:szCs w:val="22"/>
              </w:rPr>
            </w:pPr>
            <w:r w:rsidRPr="00B7395D">
              <w:rPr>
                <w:rFonts w:ascii="Verdana" w:hAnsi="Verdana" w:cs="Arial"/>
                <w:sz w:val="22"/>
                <w:szCs w:val="22"/>
              </w:rPr>
              <w:t>The service shall</w:t>
            </w:r>
            <w:r w:rsidR="004F6E3C" w:rsidRPr="00B7395D">
              <w:rPr>
                <w:rFonts w:ascii="Verdana" w:hAnsi="Verdana" w:cs="Arial"/>
                <w:sz w:val="22"/>
                <w:szCs w:val="22"/>
              </w:rPr>
              <w:t xml:space="preserve"> operate as part of an integrated system for the prevention of fractures</w:t>
            </w:r>
            <w:r w:rsidR="00271B52" w:rsidRPr="00B7395D">
              <w:rPr>
                <w:rFonts w:ascii="Verdana" w:hAnsi="Verdana" w:cs="Arial"/>
                <w:sz w:val="22"/>
                <w:szCs w:val="22"/>
              </w:rPr>
              <w:t xml:space="preserve"> and falls</w:t>
            </w:r>
            <w:r w:rsidR="004F6E3C" w:rsidRPr="00B7395D">
              <w:rPr>
                <w:rFonts w:ascii="Verdana" w:hAnsi="Verdana" w:cs="Arial"/>
                <w:sz w:val="22"/>
                <w:szCs w:val="22"/>
              </w:rPr>
              <w:t>.</w:t>
            </w:r>
            <w:r w:rsidR="00794DF7">
              <w:rPr>
                <w:rFonts w:ascii="Verdana" w:hAnsi="Verdana" w:cs="Arial"/>
                <w:sz w:val="22"/>
                <w:szCs w:val="22"/>
              </w:rPr>
              <w:t xml:space="preserve"> </w:t>
            </w:r>
            <w:r w:rsidRPr="00B7395D">
              <w:rPr>
                <w:rFonts w:ascii="Verdana" w:hAnsi="Verdana" w:cs="Arial"/>
                <w:sz w:val="22"/>
                <w:szCs w:val="22"/>
              </w:rPr>
              <w:t>It will, therefore,</w:t>
            </w:r>
            <w:r w:rsidR="004F6E3C" w:rsidRPr="00B7395D">
              <w:rPr>
                <w:rFonts w:ascii="Verdana" w:hAnsi="Verdana" w:cs="Arial"/>
                <w:sz w:val="22"/>
                <w:szCs w:val="22"/>
              </w:rPr>
              <w:t xml:space="preserve"> work closely with other parts of the health and social care system including:</w:t>
            </w:r>
          </w:p>
          <w:p w14:paraId="210CA9B2" w14:textId="77777777" w:rsidR="00B73CB9" w:rsidRPr="008E637D" w:rsidRDefault="00B73CB9"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Falls services</w:t>
            </w:r>
          </w:p>
          <w:p w14:paraId="7DD6CC2E" w14:textId="77777777" w:rsidR="00E704E1" w:rsidRPr="00B7395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M</w:t>
            </w:r>
            <w:r w:rsidR="004F6E3C" w:rsidRPr="00B7395D">
              <w:rPr>
                <w:rFonts w:ascii="Verdana" w:hAnsi="Verdana" w:cs="Arial"/>
                <w:color w:val="000000" w:themeColor="text1"/>
                <w:sz w:val="22"/>
                <w:szCs w:val="22"/>
              </w:rPr>
              <w:t xml:space="preserve">edical </w:t>
            </w:r>
            <w:r w:rsidR="00794DF7">
              <w:rPr>
                <w:rFonts w:ascii="Verdana" w:hAnsi="Verdana" w:cs="Arial"/>
                <w:color w:val="000000" w:themeColor="text1"/>
                <w:sz w:val="22"/>
                <w:szCs w:val="22"/>
              </w:rPr>
              <w:t>Assessment U</w:t>
            </w:r>
            <w:r w:rsidR="004F6E3C" w:rsidRPr="00B7395D">
              <w:rPr>
                <w:rFonts w:ascii="Verdana" w:hAnsi="Verdana" w:cs="Arial"/>
                <w:color w:val="000000" w:themeColor="text1"/>
                <w:sz w:val="22"/>
                <w:szCs w:val="22"/>
              </w:rPr>
              <w:t>nit</w:t>
            </w:r>
          </w:p>
          <w:p w14:paraId="3463FB98" w14:textId="77777777" w:rsidR="00E704E1" w:rsidRPr="00B7395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Orthopaedics</w:t>
            </w:r>
            <w:r w:rsidR="00B642FB" w:rsidRPr="00B7395D">
              <w:rPr>
                <w:rFonts w:ascii="Verdana" w:hAnsi="Verdana" w:cs="Arial"/>
                <w:color w:val="000000" w:themeColor="text1"/>
                <w:sz w:val="22"/>
                <w:szCs w:val="22"/>
              </w:rPr>
              <w:t xml:space="preserve"> and trauma</w:t>
            </w:r>
          </w:p>
          <w:p w14:paraId="7AB7CBDC" w14:textId="77777777" w:rsidR="00E704E1" w:rsidRPr="00B7395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M</w:t>
            </w:r>
            <w:r w:rsidR="004F6E3C" w:rsidRPr="00B7395D">
              <w:rPr>
                <w:rFonts w:ascii="Verdana" w:hAnsi="Verdana" w:cs="Arial"/>
                <w:color w:val="000000" w:themeColor="text1"/>
                <w:sz w:val="22"/>
                <w:szCs w:val="22"/>
              </w:rPr>
              <w:t>edic</w:t>
            </w:r>
            <w:r w:rsidRPr="00B7395D">
              <w:rPr>
                <w:rFonts w:ascii="Verdana" w:hAnsi="Verdana" w:cs="Arial"/>
                <w:color w:val="000000" w:themeColor="text1"/>
                <w:sz w:val="22"/>
                <w:szCs w:val="22"/>
              </w:rPr>
              <w:t xml:space="preserve">ine </w:t>
            </w:r>
            <w:r w:rsidR="004F6E3C" w:rsidRPr="00B7395D">
              <w:rPr>
                <w:rFonts w:ascii="Verdana" w:hAnsi="Verdana" w:cs="Arial"/>
                <w:color w:val="000000" w:themeColor="text1"/>
                <w:sz w:val="22"/>
                <w:szCs w:val="22"/>
              </w:rPr>
              <w:t>and care of older people departments</w:t>
            </w:r>
          </w:p>
          <w:p w14:paraId="7814A85C" w14:textId="77777777" w:rsidR="00E704E1" w:rsidRPr="00B7395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E</w:t>
            </w:r>
            <w:r w:rsidR="004F6E3C" w:rsidRPr="00B7395D">
              <w:rPr>
                <w:rFonts w:ascii="Verdana" w:hAnsi="Verdana" w:cs="Arial"/>
                <w:color w:val="000000" w:themeColor="text1"/>
                <w:sz w:val="22"/>
                <w:szCs w:val="22"/>
              </w:rPr>
              <w:t>mergency department</w:t>
            </w:r>
          </w:p>
          <w:p w14:paraId="4B8BD1EC" w14:textId="77777777" w:rsidR="00E704E1" w:rsidRPr="00B7395D" w:rsidRDefault="001D5F97"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Radiology</w:t>
            </w:r>
          </w:p>
          <w:p w14:paraId="4E01385B" w14:textId="77777777" w:rsidR="00E704E1" w:rsidRPr="00B7395D" w:rsidRDefault="00794DF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Intermediate c</w:t>
            </w:r>
            <w:r w:rsidR="001D5F97" w:rsidRPr="00B7395D">
              <w:rPr>
                <w:rFonts w:ascii="Verdana" w:hAnsi="Verdana" w:cs="Arial"/>
                <w:color w:val="000000" w:themeColor="text1"/>
                <w:sz w:val="22"/>
                <w:szCs w:val="22"/>
              </w:rPr>
              <w:t>are</w:t>
            </w:r>
          </w:p>
          <w:p w14:paraId="1FDBCAEF" w14:textId="77777777" w:rsidR="00E704E1" w:rsidRPr="00B7395D" w:rsidRDefault="001D5F97"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Falls </w:t>
            </w:r>
            <w:r w:rsidR="00B652F7" w:rsidRPr="00B7395D">
              <w:rPr>
                <w:rFonts w:ascii="Verdana" w:hAnsi="Verdana" w:cs="Arial"/>
                <w:color w:val="000000" w:themeColor="text1"/>
                <w:sz w:val="22"/>
                <w:szCs w:val="22"/>
              </w:rPr>
              <w:t>c</w:t>
            </w:r>
            <w:r w:rsidRPr="00B7395D">
              <w:rPr>
                <w:rFonts w:ascii="Verdana" w:hAnsi="Verdana" w:cs="Arial"/>
                <w:color w:val="000000" w:themeColor="text1"/>
                <w:sz w:val="22"/>
                <w:szCs w:val="22"/>
              </w:rPr>
              <w:t>o-ordinator</w:t>
            </w:r>
            <w:r w:rsidR="00F16A82" w:rsidRPr="00B7395D">
              <w:rPr>
                <w:rFonts w:ascii="Verdana" w:hAnsi="Verdana" w:cs="Arial"/>
                <w:color w:val="000000" w:themeColor="text1"/>
                <w:sz w:val="22"/>
                <w:szCs w:val="22"/>
              </w:rPr>
              <w:t xml:space="preserve"> and falls prevention s</w:t>
            </w:r>
            <w:r w:rsidRPr="00B7395D">
              <w:rPr>
                <w:rFonts w:ascii="Verdana" w:hAnsi="Verdana" w:cs="Arial"/>
                <w:color w:val="000000" w:themeColor="text1"/>
                <w:sz w:val="22"/>
                <w:szCs w:val="22"/>
              </w:rPr>
              <w:t>ervices</w:t>
            </w:r>
          </w:p>
          <w:p w14:paraId="4E04FE6D" w14:textId="77777777" w:rsidR="00E704E1" w:rsidRPr="00B7395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GPs</w:t>
            </w:r>
          </w:p>
          <w:p w14:paraId="30A18001" w14:textId="77777777" w:rsidR="00E704E1" w:rsidRPr="00B7395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Community nurses</w:t>
            </w:r>
          </w:p>
          <w:p w14:paraId="3EB86920" w14:textId="77777777" w:rsidR="00E704E1" w:rsidRPr="00B7395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Community hospitals</w:t>
            </w:r>
          </w:p>
          <w:p w14:paraId="43A5C465" w14:textId="777F5479" w:rsidR="00E704E1" w:rsidRPr="008E637D" w:rsidRDefault="00F16A82"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Clinical </w:t>
            </w:r>
            <w:r w:rsidR="00B73CB9">
              <w:rPr>
                <w:rFonts w:ascii="Verdana" w:hAnsi="Verdana" w:cs="Arial"/>
                <w:color w:val="000000" w:themeColor="text1"/>
                <w:sz w:val="22"/>
                <w:szCs w:val="22"/>
              </w:rPr>
              <w:t>c</w:t>
            </w:r>
            <w:r w:rsidRPr="00B7395D">
              <w:rPr>
                <w:rFonts w:ascii="Verdana" w:hAnsi="Verdana" w:cs="Arial"/>
                <w:color w:val="000000" w:themeColor="text1"/>
                <w:sz w:val="22"/>
                <w:szCs w:val="22"/>
              </w:rPr>
              <w:t xml:space="preserve">ommissioning </w:t>
            </w:r>
            <w:r w:rsidR="00B73CB9">
              <w:rPr>
                <w:rFonts w:ascii="Verdana" w:hAnsi="Verdana" w:cs="Arial"/>
                <w:color w:val="000000" w:themeColor="text1"/>
                <w:sz w:val="22"/>
                <w:szCs w:val="22"/>
              </w:rPr>
              <w:t>g</w:t>
            </w:r>
            <w:r w:rsidRPr="00B7395D">
              <w:rPr>
                <w:rFonts w:ascii="Verdana" w:hAnsi="Verdana" w:cs="Arial"/>
                <w:color w:val="000000" w:themeColor="text1"/>
                <w:sz w:val="22"/>
                <w:szCs w:val="22"/>
              </w:rPr>
              <w:t>roups</w:t>
            </w:r>
          </w:p>
          <w:p w14:paraId="496C3361" w14:textId="77777777" w:rsidR="00B73CB9" w:rsidRPr="00B7395D" w:rsidRDefault="00B73CB9"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Public health</w:t>
            </w:r>
          </w:p>
          <w:p w14:paraId="56FBDE2A" w14:textId="77777777" w:rsidR="00466D87" w:rsidRPr="00B7395D" w:rsidRDefault="00794DF7" w:rsidP="003A13F6">
            <w:pPr>
              <w:pStyle w:val="ListParagraph"/>
              <w:numPr>
                <w:ilvl w:val="0"/>
                <w:numId w:val="3"/>
              </w:numPr>
              <w:spacing w:after="120"/>
              <w:ind w:left="720" w:hanging="357"/>
              <w:rPr>
                <w:rFonts w:ascii="Verdana" w:hAnsi="Verdana" w:cs="Arial"/>
                <w:color w:val="000000" w:themeColor="text1"/>
                <w:szCs w:val="22"/>
              </w:rPr>
            </w:pPr>
            <w:r>
              <w:rPr>
                <w:rFonts w:ascii="Verdana" w:hAnsi="Verdana" w:cs="Arial"/>
                <w:color w:val="000000" w:themeColor="text1"/>
                <w:sz w:val="22"/>
                <w:szCs w:val="22"/>
              </w:rPr>
              <w:t>Physiotherapists</w:t>
            </w:r>
          </w:p>
          <w:p w14:paraId="1786C781" w14:textId="77777777" w:rsidR="00B70D45" w:rsidRPr="00B7395D" w:rsidRDefault="00466D87"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Other AHPs.</w:t>
            </w:r>
          </w:p>
          <w:p w14:paraId="28A055F7" w14:textId="77777777" w:rsidR="00075A83" w:rsidRPr="00B7395D" w:rsidRDefault="00F16A82" w:rsidP="003A13F6">
            <w:pPr>
              <w:spacing w:after="120"/>
              <w:ind w:left="357"/>
              <w:rPr>
                <w:rFonts w:ascii="Verdana" w:hAnsi="Verdana" w:cs="Arial"/>
                <w:sz w:val="20"/>
                <w:lang w:val="en-GB"/>
              </w:rPr>
            </w:pPr>
            <w:r w:rsidRPr="00B7395D">
              <w:rPr>
                <w:rFonts w:ascii="Verdana" w:hAnsi="Verdana" w:cs="Arial"/>
                <w:b/>
                <w:sz w:val="22"/>
                <w:szCs w:val="22"/>
                <w:lang w:val="en-GB"/>
              </w:rPr>
              <w:t>[Edit this list as required]</w:t>
            </w:r>
          </w:p>
        </w:tc>
      </w:tr>
      <w:tr w:rsidR="00075A83" w:rsidRPr="00B7395D" w14:paraId="1A8ECB66" w14:textId="77777777" w:rsidTr="007D3594">
        <w:trPr>
          <w:trHeight w:val="121"/>
        </w:trPr>
        <w:tc>
          <w:tcPr>
            <w:tcW w:w="8908" w:type="dxa"/>
            <w:shd w:val="clear" w:color="auto" w:fill="595959"/>
          </w:tcPr>
          <w:p w14:paraId="0DC6B15C" w14:textId="77777777" w:rsidR="00075A83" w:rsidRPr="00B7395D" w:rsidRDefault="00075A83" w:rsidP="0026228C">
            <w:pPr>
              <w:pStyle w:val="Mainheading"/>
              <w:rPr>
                <w:rFonts w:ascii="Verdana" w:hAnsi="Verdana"/>
              </w:rPr>
            </w:pPr>
            <w:r w:rsidRPr="00B7395D">
              <w:rPr>
                <w:rFonts w:ascii="Verdana" w:hAnsi="Verdana"/>
              </w:rPr>
              <w:t>4.</w:t>
            </w:r>
            <w:r w:rsidRPr="00B7395D">
              <w:rPr>
                <w:rFonts w:ascii="Verdana" w:hAnsi="Verdana"/>
              </w:rPr>
              <w:tab/>
              <w:t>Applicable Service Standards</w:t>
            </w:r>
          </w:p>
        </w:tc>
      </w:tr>
      <w:tr w:rsidR="00075A83" w:rsidRPr="00B7395D" w14:paraId="219423FA" w14:textId="77777777" w:rsidTr="007D3594">
        <w:trPr>
          <w:trHeight w:val="121"/>
        </w:trPr>
        <w:tc>
          <w:tcPr>
            <w:tcW w:w="8908" w:type="dxa"/>
            <w:shd w:val="clear" w:color="auto" w:fill="auto"/>
          </w:tcPr>
          <w:p w14:paraId="731DCBA3" w14:textId="77777777" w:rsidR="00B70D45" w:rsidRPr="00B7395D" w:rsidRDefault="00075A83" w:rsidP="003A13F6">
            <w:pPr>
              <w:spacing w:before="120" w:after="120"/>
              <w:rPr>
                <w:rFonts w:ascii="Verdana" w:hAnsi="Verdana" w:cs="Arial"/>
                <w:b/>
                <w:color w:val="009966"/>
                <w:sz w:val="28"/>
                <w:szCs w:val="28"/>
                <w:lang w:val="en-GB"/>
              </w:rPr>
            </w:pPr>
            <w:r w:rsidRPr="00B7395D">
              <w:rPr>
                <w:rFonts w:ascii="Verdana" w:hAnsi="Verdana" w:cs="Arial"/>
                <w:b/>
                <w:color w:val="009966"/>
                <w:sz w:val="28"/>
                <w:szCs w:val="28"/>
                <w:lang w:val="en-GB"/>
              </w:rPr>
              <w:t>4</w:t>
            </w:r>
            <w:r w:rsidR="00BE6926" w:rsidRPr="00B7395D">
              <w:rPr>
                <w:rFonts w:ascii="Verdana" w:hAnsi="Verdana" w:cs="Arial"/>
                <w:b/>
                <w:color w:val="009966"/>
                <w:sz w:val="28"/>
                <w:szCs w:val="28"/>
                <w:lang w:val="en-GB"/>
              </w:rPr>
              <w:t xml:space="preserve">.1  </w:t>
            </w:r>
            <w:r w:rsidRPr="00B7395D">
              <w:rPr>
                <w:rFonts w:ascii="Verdana" w:hAnsi="Verdana" w:cs="Arial"/>
                <w:b/>
                <w:color w:val="009966"/>
                <w:sz w:val="28"/>
                <w:szCs w:val="28"/>
                <w:lang w:val="en-GB"/>
              </w:rPr>
              <w:t>Applicable national standards (</w:t>
            </w:r>
            <w:r w:rsidR="00D31CF0" w:rsidRPr="00B7395D">
              <w:rPr>
                <w:rFonts w:ascii="Verdana" w:hAnsi="Verdana" w:cs="Arial"/>
                <w:b/>
                <w:color w:val="009966"/>
                <w:sz w:val="28"/>
                <w:szCs w:val="28"/>
                <w:lang w:val="en-GB"/>
              </w:rPr>
              <w:t>e.g.</w:t>
            </w:r>
            <w:r w:rsidRPr="00B7395D">
              <w:rPr>
                <w:rFonts w:ascii="Verdana" w:hAnsi="Verdana" w:cs="Arial"/>
                <w:b/>
                <w:color w:val="009966"/>
                <w:sz w:val="28"/>
                <w:szCs w:val="28"/>
                <w:lang w:val="en-GB"/>
              </w:rPr>
              <w:t xml:space="preserve"> NICE)</w:t>
            </w:r>
          </w:p>
          <w:p w14:paraId="591A2646" w14:textId="77777777" w:rsidR="00545D4B" w:rsidRPr="00545D4B" w:rsidRDefault="00545D4B" w:rsidP="00545D4B">
            <w:pPr>
              <w:pStyle w:val="ListParagraph"/>
              <w:numPr>
                <w:ilvl w:val="0"/>
                <w:numId w:val="3"/>
              </w:numPr>
              <w:spacing w:after="120"/>
              <w:ind w:left="743"/>
              <w:rPr>
                <w:rFonts w:ascii="Verdana" w:hAnsi="Verdana" w:cs="Arial"/>
                <w:color w:val="000000" w:themeColor="text1"/>
                <w:szCs w:val="22"/>
              </w:rPr>
            </w:pPr>
            <w:r w:rsidRPr="00545D4B">
              <w:rPr>
                <w:rFonts w:ascii="Verdana" w:hAnsi="Verdana" w:cs="Arial"/>
                <w:color w:val="000000" w:themeColor="text1"/>
                <w:szCs w:val="22"/>
              </w:rPr>
              <w:t>National</w:t>
            </w:r>
            <w:r w:rsidRPr="00C72513">
              <w:rPr>
                <w:rFonts w:ascii="Verdana" w:hAnsi="Verdana" w:cs="Arial"/>
                <w:color w:val="000000" w:themeColor="text1"/>
                <w:szCs w:val="22"/>
              </w:rPr>
              <w:t xml:space="preserve"> </w:t>
            </w:r>
            <w:r w:rsidRPr="0070501B">
              <w:rPr>
                <w:rFonts w:ascii="Verdana" w:hAnsi="Verdana" w:cs="Arial"/>
                <w:color w:val="000000" w:themeColor="text1"/>
                <w:szCs w:val="22"/>
              </w:rPr>
              <w:t>Osteo</w:t>
            </w:r>
            <w:r w:rsidRPr="00BE08E1">
              <w:rPr>
                <w:rFonts w:ascii="Verdana" w:hAnsi="Verdana" w:cs="Arial"/>
                <w:color w:val="000000" w:themeColor="text1"/>
                <w:szCs w:val="22"/>
              </w:rPr>
              <w:t>porosis Society,</w:t>
            </w:r>
            <w:r w:rsidRPr="009D2712">
              <w:rPr>
                <w:rFonts w:ascii="Verdana" w:hAnsi="Verdana" w:cs="Arial"/>
                <w:color w:val="000000" w:themeColor="text1"/>
                <w:szCs w:val="22"/>
              </w:rPr>
              <w:t xml:space="preserve"> 2014. Effective Secondary Prevention of Fragility Fractures: Clinical Standards for Fracture Liaison Services</w:t>
            </w:r>
          </w:p>
          <w:p w14:paraId="5B3B2139" w14:textId="77777777" w:rsidR="00C51FC2" w:rsidRPr="00B7395D" w:rsidRDefault="000753AD" w:rsidP="003A13F6">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NICE T</w:t>
            </w:r>
            <w:r w:rsidR="00C51FC2" w:rsidRPr="00B7395D">
              <w:rPr>
                <w:rFonts w:ascii="Verdana" w:hAnsi="Verdana" w:cs="Arial"/>
                <w:color w:val="000000" w:themeColor="text1"/>
                <w:sz w:val="22"/>
                <w:szCs w:val="22"/>
              </w:rPr>
              <w:t xml:space="preserve">echnology </w:t>
            </w:r>
            <w:r w:rsidR="00A34A26" w:rsidRPr="00B7395D">
              <w:rPr>
                <w:rFonts w:ascii="Verdana" w:hAnsi="Verdana" w:cs="Arial"/>
                <w:color w:val="000000" w:themeColor="text1"/>
                <w:sz w:val="22"/>
                <w:szCs w:val="22"/>
              </w:rPr>
              <w:t>a</w:t>
            </w:r>
            <w:r w:rsidR="00C51FC2" w:rsidRPr="00B7395D">
              <w:rPr>
                <w:rFonts w:ascii="Verdana" w:hAnsi="Verdana" w:cs="Arial"/>
                <w:color w:val="000000" w:themeColor="text1"/>
                <w:sz w:val="22"/>
                <w:szCs w:val="22"/>
              </w:rPr>
              <w:t xml:space="preserve">ppraisal </w:t>
            </w:r>
            <w:r w:rsidR="00A34A26" w:rsidRPr="00B7395D">
              <w:rPr>
                <w:rFonts w:ascii="Verdana" w:hAnsi="Verdana" w:cs="Arial"/>
                <w:color w:val="000000" w:themeColor="text1"/>
                <w:sz w:val="22"/>
                <w:szCs w:val="22"/>
              </w:rPr>
              <w:t>TA</w:t>
            </w:r>
            <w:r w:rsidRPr="00B7395D">
              <w:rPr>
                <w:rFonts w:ascii="Verdana" w:hAnsi="Verdana" w:cs="Arial"/>
                <w:color w:val="000000" w:themeColor="text1"/>
                <w:sz w:val="22"/>
                <w:szCs w:val="22"/>
              </w:rPr>
              <w:t>160</w:t>
            </w:r>
            <w:r w:rsidR="00C51FC2" w:rsidRPr="00B7395D">
              <w:rPr>
                <w:rFonts w:ascii="Verdana" w:hAnsi="Verdana" w:cs="Arial"/>
                <w:color w:val="000000" w:themeColor="text1"/>
                <w:sz w:val="22"/>
                <w:szCs w:val="22"/>
              </w:rPr>
              <w:t xml:space="preserve">, </w:t>
            </w:r>
            <w:hyperlink r:id="rId18" w:history="1">
              <w:r w:rsidR="00C51FC2" w:rsidRPr="00B7395D">
                <w:rPr>
                  <w:rStyle w:val="Hyperlink"/>
                  <w:rFonts w:ascii="Verdana" w:hAnsi="Verdana" w:cs="Arial"/>
                  <w:sz w:val="22"/>
                  <w:szCs w:val="22"/>
                </w:rPr>
                <w:t>Alendronate, etidronate, risedronate, raloxifene and strontium ranelate for the primary prevention of osteoporotic fragility fractures in postmenopausal women</w:t>
              </w:r>
            </w:hyperlink>
            <w:r w:rsidR="00BD0F0A" w:rsidRPr="00B7395D">
              <w:rPr>
                <w:rFonts w:ascii="Verdana" w:hAnsi="Verdana" w:cs="Arial"/>
                <w:color w:val="000000" w:themeColor="text1"/>
                <w:sz w:val="22"/>
                <w:szCs w:val="22"/>
              </w:rPr>
              <w:t xml:space="preserve">, </w:t>
            </w:r>
            <w:r w:rsidR="00A34A26" w:rsidRPr="00B7395D">
              <w:rPr>
                <w:rFonts w:ascii="Verdana" w:hAnsi="Verdana" w:cs="Arial"/>
                <w:color w:val="000000" w:themeColor="text1"/>
                <w:sz w:val="22"/>
                <w:szCs w:val="22"/>
              </w:rPr>
              <w:t>2008 (</w:t>
            </w:r>
            <w:r w:rsidR="00C51FC2" w:rsidRPr="00B7395D">
              <w:rPr>
                <w:rFonts w:ascii="Verdana" w:hAnsi="Verdana" w:cs="Arial"/>
                <w:color w:val="000000" w:themeColor="text1"/>
                <w:sz w:val="22"/>
                <w:szCs w:val="22"/>
              </w:rPr>
              <w:t xml:space="preserve">amended </w:t>
            </w:r>
            <w:r w:rsidR="00BD0F0A" w:rsidRPr="00B7395D">
              <w:rPr>
                <w:rFonts w:ascii="Verdana" w:hAnsi="Verdana" w:cs="Arial"/>
                <w:color w:val="000000" w:themeColor="text1"/>
                <w:sz w:val="22"/>
                <w:szCs w:val="22"/>
              </w:rPr>
              <w:t>2011</w:t>
            </w:r>
            <w:r w:rsidR="00A34A26" w:rsidRPr="00B7395D">
              <w:rPr>
                <w:rFonts w:ascii="Verdana" w:hAnsi="Verdana" w:cs="Arial"/>
                <w:color w:val="000000" w:themeColor="text1"/>
                <w:sz w:val="22"/>
                <w:szCs w:val="22"/>
              </w:rPr>
              <w:t>); National Institute for Care and Health Excellence</w:t>
            </w:r>
          </w:p>
          <w:p w14:paraId="067660BA" w14:textId="77777777" w:rsidR="00C51FC2" w:rsidRPr="00B7395D" w:rsidRDefault="00C51FC2" w:rsidP="00A34A26">
            <w:pPr>
              <w:pStyle w:val="ListParagraph"/>
              <w:numPr>
                <w:ilvl w:val="0"/>
                <w:numId w:val="3"/>
              </w:numPr>
              <w:ind w:left="720" w:hanging="357"/>
              <w:rPr>
                <w:rFonts w:ascii="Verdana" w:hAnsi="Verdana" w:cs="Arial"/>
                <w:color w:val="000000" w:themeColor="text1"/>
                <w:szCs w:val="22"/>
              </w:rPr>
            </w:pPr>
            <w:r w:rsidRPr="00B7395D">
              <w:rPr>
                <w:rFonts w:ascii="Verdana" w:hAnsi="Verdana" w:cs="Arial"/>
                <w:color w:val="000000" w:themeColor="text1"/>
                <w:sz w:val="22"/>
                <w:szCs w:val="22"/>
              </w:rPr>
              <w:t xml:space="preserve">NICE Technology appraisal </w:t>
            </w:r>
            <w:r w:rsidR="00A34A26" w:rsidRPr="00B7395D">
              <w:rPr>
                <w:rFonts w:ascii="Verdana" w:hAnsi="Verdana" w:cs="Arial"/>
                <w:color w:val="000000" w:themeColor="text1"/>
                <w:sz w:val="22"/>
                <w:szCs w:val="22"/>
              </w:rPr>
              <w:t>TA</w:t>
            </w:r>
            <w:r w:rsidRPr="00B7395D">
              <w:rPr>
                <w:rFonts w:ascii="Verdana" w:hAnsi="Verdana" w:cs="Arial"/>
                <w:color w:val="000000" w:themeColor="text1"/>
                <w:sz w:val="22"/>
                <w:szCs w:val="22"/>
              </w:rPr>
              <w:t xml:space="preserve">161, </w:t>
            </w:r>
            <w:hyperlink r:id="rId19" w:history="1">
              <w:r w:rsidRPr="00B7395D">
                <w:rPr>
                  <w:rStyle w:val="Hyperlink"/>
                  <w:rFonts w:ascii="Verdana" w:hAnsi="Verdana" w:cs="Arial"/>
                  <w:sz w:val="22"/>
                  <w:szCs w:val="22"/>
                </w:rPr>
                <w:t>Alendronate, etidronate, risedronate, raloxifene, strontium ranelate and teriparatide for preventing bone fractures in postmenopausal women with osteoporosis who have  already had a fracture</w:t>
              </w:r>
            </w:hyperlink>
            <w:r w:rsidR="00BD0F0A" w:rsidRPr="00B7395D">
              <w:rPr>
                <w:rFonts w:ascii="Verdana" w:hAnsi="Verdana" w:cs="Arial"/>
                <w:color w:val="000000" w:themeColor="text1"/>
                <w:sz w:val="22"/>
                <w:szCs w:val="22"/>
              </w:rPr>
              <w:t>, 2008</w:t>
            </w:r>
            <w:r w:rsidR="00A34A26" w:rsidRPr="00B7395D">
              <w:rPr>
                <w:rFonts w:ascii="Verdana" w:hAnsi="Verdana" w:cs="Arial"/>
                <w:color w:val="000000" w:themeColor="text1"/>
                <w:sz w:val="22"/>
                <w:szCs w:val="22"/>
              </w:rPr>
              <w:t xml:space="preserve"> (amended 2008); National Institute for Care and Health Excellence</w:t>
            </w:r>
          </w:p>
          <w:p w14:paraId="06696AF5" w14:textId="77777777" w:rsidR="00270BD2" w:rsidRPr="00B7395D" w:rsidRDefault="00270BD2" w:rsidP="00850A1A">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NICE C</w:t>
            </w:r>
            <w:r w:rsidR="00BD0F0A" w:rsidRPr="00B7395D">
              <w:rPr>
                <w:rFonts w:ascii="Verdana" w:hAnsi="Verdana" w:cs="Arial"/>
                <w:color w:val="000000" w:themeColor="text1"/>
                <w:sz w:val="22"/>
                <w:szCs w:val="22"/>
              </w:rPr>
              <w:t>linic</w:t>
            </w:r>
            <w:r w:rsidR="00C51FC2" w:rsidRPr="00B7395D">
              <w:rPr>
                <w:rFonts w:ascii="Verdana" w:hAnsi="Verdana" w:cs="Arial"/>
                <w:color w:val="000000" w:themeColor="text1"/>
                <w:sz w:val="22"/>
                <w:szCs w:val="22"/>
              </w:rPr>
              <w:t xml:space="preserve">al </w:t>
            </w:r>
            <w:r w:rsidR="00A34A26" w:rsidRPr="00B7395D">
              <w:rPr>
                <w:rFonts w:ascii="Verdana" w:hAnsi="Verdana" w:cs="Arial"/>
                <w:color w:val="000000" w:themeColor="text1"/>
                <w:sz w:val="22"/>
                <w:szCs w:val="22"/>
              </w:rPr>
              <w:t>g</w:t>
            </w:r>
            <w:r w:rsidR="00C51FC2" w:rsidRPr="00B7395D">
              <w:rPr>
                <w:rFonts w:ascii="Verdana" w:hAnsi="Verdana" w:cs="Arial"/>
                <w:color w:val="000000" w:themeColor="text1"/>
                <w:sz w:val="22"/>
                <w:szCs w:val="22"/>
              </w:rPr>
              <w:t>uideline</w:t>
            </w:r>
            <w:r w:rsidRPr="00B7395D">
              <w:rPr>
                <w:rFonts w:ascii="Verdana" w:hAnsi="Verdana" w:cs="Arial"/>
                <w:color w:val="000000" w:themeColor="text1"/>
                <w:sz w:val="22"/>
                <w:szCs w:val="22"/>
              </w:rPr>
              <w:t xml:space="preserve"> </w:t>
            </w:r>
            <w:r w:rsidR="00A34A26" w:rsidRPr="00B7395D">
              <w:rPr>
                <w:rFonts w:ascii="Verdana" w:hAnsi="Verdana" w:cs="Arial"/>
                <w:color w:val="000000" w:themeColor="text1"/>
                <w:sz w:val="22"/>
                <w:szCs w:val="22"/>
              </w:rPr>
              <w:t>CG</w:t>
            </w:r>
            <w:r w:rsidRPr="00B7395D">
              <w:rPr>
                <w:rFonts w:ascii="Verdana" w:hAnsi="Verdana" w:cs="Arial"/>
                <w:color w:val="000000" w:themeColor="text1"/>
                <w:sz w:val="22"/>
                <w:szCs w:val="22"/>
              </w:rPr>
              <w:t>146</w:t>
            </w:r>
            <w:r w:rsidR="00C51FC2" w:rsidRPr="00B7395D">
              <w:rPr>
                <w:rFonts w:ascii="Verdana" w:hAnsi="Verdana" w:cs="Arial"/>
                <w:color w:val="000000" w:themeColor="text1"/>
                <w:sz w:val="22"/>
                <w:szCs w:val="22"/>
              </w:rPr>
              <w:t xml:space="preserve">, </w:t>
            </w:r>
            <w:hyperlink r:id="rId20" w:history="1">
              <w:r w:rsidR="00C51FC2" w:rsidRPr="00B7395D">
                <w:rPr>
                  <w:rStyle w:val="Hyperlink"/>
                  <w:rFonts w:ascii="Verdana" w:hAnsi="Verdana" w:cs="Arial"/>
                  <w:sz w:val="22"/>
                  <w:szCs w:val="22"/>
                </w:rPr>
                <w:t>Osteoporosis: assessing the risk of fragility fracture</w:t>
              </w:r>
            </w:hyperlink>
            <w:r w:rsidR="00C51FC2" w:rsidRPr="00B7395D">
              <w:rPr>
                <w:rFonts w:ascii="Verdana" w:hAnsi="Verdana" w:cs="Arial"/>
                <w:color w:val="000000" w:themeColor="text1"/>
                <w:sz w:val="22"/>
                <w:szCs w:val="22"/>
              </w:rPr>
              <w:t>,</w:t>
            </w:r>
            <w:r w:rsidR="00A34A26" w:rsidRPr="00B7395D">
              <w:rPr>
                <w:rFonts w:ascii="Verdana" w:hAnsi="Verdana" w:cs="Arial"/>
                <w:color w:val="000000" w:themeColor="text1"/>
                <w:sz w:val="22"/>
                <w:szCs w:val="22"/>
              </w:rPr>
              <w:t xml:space="preserve"> 2012; National Institute for Care and Health Excellence</w:t>
            </w:r>
          </w:p>
          <w:p w14:paraId="1538F300" w14:textId="77777777" w:rsidR="00AB0550" w:rsidRPr="00B7395D" w:rsidRDefault="00AB0550" w:rsidP="00AB0550">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sz w:val="22"/>
                <w:szCs w:val="22"/>
              </w:rPr>
              <w:t>NICE Clinical guideline</w:t>
            </w:r>
            <w:r w:rsidRPr="00B7395D">
              <w:rPr>
                <w:rStyle w:val="Heading1Char"/>
                <w:rFonts w:ascii="Verdana" w:hAnsi="Verdana"/>
                <w:bCs/>
                <w:sz w:val="22"/>
                <w:szCs w:val="22"/>
              </w:rPr>
              <w:t xml:space="preserve"> </w:t>
            </w:r>
            <w:r w:rsidRPr="00B7395D">
              <w:rPr>
                <w:rStyle w:val="prod-title2"/>
                <w:rFonts w:ascii="Verdana" w:hAnsi="Verdana"/>
                <w:bCs/>
                <w:sz w:val="22"/>
                <w:szCs w:val="22"/>
              </w:rPr>
              <w:t>TA204</w:t>
            </w:r>
            <w:r w:rsidRPr="00B7395D">
              <w:rPr>
                <w:rFonts w:ascii="Verdana" w:hAnsi="Verdana" w:cs="Arial"/>
                <w:sz w:val="22"/>
                <w:szCs w:val="22"/>
              </w:rPr>
              <w:t xml:space="preserve">, </w:t>
            </w:r>
            <w:hyperlink r:id="rId21" w:history="1">
              <w:r w:rsidRPr="00B7395D">
                <w:rPr>
                  <w:rStyle w:val="Hyperlink"/>
                  <w:rFonts w:ascii="Verdana" w:hAnsi="Verdana"/>
                  <w:sz w:val="22"/>
                  <w:szCs w:val="22"/>
                </w:rPr>
                <w:t>Denosumab for the prevention of osteoporotic fractures in postmenopausal women</w:t>
              </w:r>
            </w:hyperlink>
            <w:r w:rsidRPr="00B7395D">
              <w:rPr>
                <w:rFonts w:ascii="Verdana" w:hAnsi="Verdana"/>
                <w:sz w:val="22"/>
                <w:szCs w:val="22"/>
              </w:rPr>
              <w:t xml:space="preserve">, 2010; </w:t>
            </w:r>
            <w:r w:rsidRPr="00B7395D">
              <w:rPr>
                <w:rFonts w:ascii="Verdana" w:hAnsi="Verdana" w:cs="Arial"/>
                <w:sz w:val="22"/>
                <w:szCs w:val="22"/>
              </w:rPr>
              <w:t>National Institute for Care and Health Excellence</w:t>
            </w:r>
          </w:p>
          <w:p w14:paraId="44CF111B" w14:textId="77777777" w:rsidR="005E2BDD" w:rsidRDefault="005E2BDD" w:rsidP="00E8291E">
            <w:pPr>
              <w:pStyle w:val="ListParagraph"/>
              <w:numPr>
                <w:ilvl w:val="0"/>
                <w:numId w:val="3"/>
              </w:numPr>
              <w:spacing w:after="120"/>
              <w:ind w:left="743"/>
              <w:rPr>
                <w:rFonts w:ascii="Verdana" w:hAnsi="Verdana" w:cs="Arial"/>
                <w:szCs w:val="22"/>
              </w:rPr>
            </w:pPr>
            <w:r w:rsidRPr="005E2BDD">
              <w:rPr>
                <w:rFonts w:ascii="Verdana" w:hAnsi="Verdana" w:cs="Arial"/>
                <w:szCs w:val="22"/>
              </w:rPr>
              <w:t xml:space="preserve">SIGN 142, 2015. Management of Osteoporosis and the prevention of fragility fractures. A national clinical guideline. Available at: </w:t>
            </w:r>
            <w:hyperlink r:id="rId22" w:history="1">
              <w:r w:rsidR="00330292" w:rsidRPr="003347ED">
                <w:rPr>
                  <w:rStyle w:val="Hyperlink"/>
                  <w:rFonts w:ascii="Verdana" w:hAnsi="Verdana" w:cs="Arial"/>
                  <w:szCs w:val="22"/>
                </w:rPr>
                <w:t>http://sign.ac.uk/pdf/SIGN142.pdf</w:t>
              </w:r>
            </w:hyperlink>
          </w:p>
          <w:p w14:paraId="56D004EF" w14:textId="77777777" w:rsidR="002D017C" w:rsidRPr="008E637D" w:rsidRDefault="00330292" w:rsidP="008E637D">
            <w:pPr>
              <w:pStyle w:val="ListParagraph"/>
              <w:numPr>
                <w:ilvl w:val="0"/>
                <w:numId w:val="3"/>
              </w:numPr>
              <w:spacing w:after="120"/>
              <w:ind w:left="743"/>
              <w:rPr>
                <w:rFonts w:ascii="Verdana" w:hAnsi="Verdana" w:cs="Arial"/>
                <w:szCs w:val="22"/>
              </w:rPr>
            </w:pPr>
            <w:r>
              <w:rPr>
                <w:rFonts w:ascii="Verdana" w:hAnsi="Verdana" w:cs="Arial"/>
                <w:szCs w:val="22"/>
              </w:rPr>
              <w:t xml:space="preserve">NICE Clinical Guideline CG161, Falls in older people: assessing risk and prevention, 2013. </w:t>
            </w:r>
            <w:r w:rsidRPr="00B7395D">
              <w:rPr>
                <w:rFonts w:ascii="Verdana" w:hAnsi="Verdana" w:cs="Arial"/>
                <w:color w:val="000000" w:themeColor="text1"/>
                <w:sz w:val="22"/>
                <w:szCs w:val="22"/>
              </w:rPr>
              <w:t>National Institute for Care and Health Excellence</w:t>
            </w:r>
            <w:r>
              <w:rPr>
                <w:rFonts w:ascii="Verdana" w:hAnsi="Verdana" w:cs="Arial"/>
                <w:color w:val="000000" w:themeColor="text1"/>
                <w:sz w:val="22"/>
                <w:szCs w:val="22"/>
              </w:rPr>
              <w:t xml:space="preserve"> </w:t>
            </w:r>
            <w:r w:rsidRPr="00330292">
              <w:rPr>
                <w:rFonts w:ascii="Verdana" w:hAnsi="Verdana" w:cs="Arial"/>
                <w:color w:val="000000" w:themeColor="text1"/>
                <w:sz w:val="22"/>
                <w:szCs w:val="22"/>
              </w:rPr>
              <w:t>http://www.nice.org.uk/guidance/cg161</w:t>
            </w:r>
          </w:p>
          <w:p w14:paraId="055A33A6" w14:textId="77777777" w:rsidR="002D017C" w:rsidRDefault="002D017C" w:rsidP="008E637D">
            <w:pPr>
              <w:pStyle w:val="ListParagraph"/>
              <w:spacing w:after="120"/>
              <w:ind w:left="743"/>
              <w:rPr>
                <w:rFonts w:ascii="Verdana" w:hAnsi="Verdana" w:cs="Arial"/>
                <w:szCs w:val="22"/>
              </w:rPr>
            </w:pPr>
          </w:p>
          <w:p w14:paraId="707C0D37" w14:textId="77777777" w:rsidR="00194D0B" w:rsidRDefault="00B70D45" w:rsidP="00AB0550">
            <w:pPr>
              <w:pStyle w:val="ListParagraph"/>
              <w:spacing w:after="120"/>
              <w:rPr>
                <w:rFonts w:ascii="Verdana" w:hAnsi="Verdana" w:cs="Arial"/>
                <w:szCs w:val="22"/>
              </w:rPr>
            </w:pPr>
            <w:r w:rsidRPr="00B7395D">
              <w:rPr>
                <w:rFonts w:ascii="Verdana" w:hAnsi="Verdana" w:cs="Arial"/>
                <w:sz w:val="22"/>
                <w:szCs w:val="22"/>
              </w:rPr>
              <w:t xml:space="preserve">The TAs listed above are currently under review.  Expected publication date for a new Multi Technology Appraisal is November 2015. </w:t>
            </w:r>
          </w:p>
          <w:p w14:paraId="6213F3BC" w14:textId="77777777" w:rsidR="00A53DF1" w:rsidRDefault="00A53DF1" w:rsidP="00AB0550">
            <w:pPr>
              <w:pStyle w:val="ListParagraph"/>
              <w:spacing w:after="120"/>
              <w:rPr>
                <w:rFonts w:ascii="Verdana" w:hAnsi="Verdana" w:cs="Arial"/>
                <w:szCs w:val="22"/>
              </w:rPr>
            </w:pPr>
          </w:p>
          <w:p w14:paraId="1FFAC815" w14:textId="77777777" w:rsidR="00075A83" w:rsidRPr="00B7395D" w:rsidRDefault="00BE6926" w:rsidP="00F16A82">
            <w:pPr>
              <w:spacing w:after="120"/>
              <w:ind w:left="357" w:hanging="357"/>
              <w:rPr>
                <w:rFonts w:ascii="Verdana" w:hAnsi="Verdana" w:cs="Arial"/>
                <w:b/>
                <w:color w:val="009966"/>
                <w:sz w:val="28"/>
                <w:szCs w:val="28"/>
                <w:u w:val="single"/>
                <w:lang w:val="en-GB"/>
              </w:rPr>
            </w:pPr>
            <w:r w:rsidRPr="00B7395D">
              <w:rPr>
                <w:rFonts w:ascii="Verdana" w:hAnsi="Verdana" w:cs="Arial"/>
                <w:b/>
                <w:color w:val="009966"/>
                <w:sz w:val="28"/>
                <w:szCs w:val="28"/>
                <w:lang w:val="en-GB"/>
              </w:rPr>
              <w:t xml:space="preserve">4.2 </w:t>
            </w:r>
            <w:r w:rsidR="00075A83" w:rsidRPr="00B7395D">
              <w:rPr>
                <w:rFonts w:ascii="Verdana" w:hAnsi="Verdana" w:cs="Arial"/>
                <w:b/>
                <w:color w:val="009966"/>
                <w:sz w:val="28"/>
                <w:szCs w:val="28"/>
                <w:lang w:val="en-GB"/>
              </w:rPr>
              <w:t>Applicable standards set out in Guidance and/or issued by a competent body (</w:t>
            </w:r>
            <w:r w:rsidR="00D31CF0" w:rsidRPr="00B7395D">
              <w:rPr>
                <w:rFonts w:ascii="Verdana" w:hAnsi="Verdana" w:cs="Arial"/>
                <w:b/>
                <w:color w:val="009966"/>
                <w:sz w:val="28"/>
                <w:szCs w:val="28"/>
                <w:lang w:val="en-GB"/>
              </w:rPr>
              <w:t>e.g.</w:t>
            </w:r>
            <w:r w:rsidR="00075A83" w:rsidRPr="00B7395D">
              <w:rPr>
                <w:rFonts w:ascii="Verdana" w:hAnsi="Verdana" w:cs="Arial"/>
                <w:b/>
                <w:color w:val="009966"/>
                <w:sz w:val="28"/>
                <w:szCs w:val="28"/>
                <w:lang w:val="en-GB"/>
              </w:rPr>
              <w:t xml:space="preserve"> Royal Colleges)</w:t>
            </w:r>
            <w:r w:rsidR="00075A83" w:rsidRPr="00B7395D">
              <w:rPr>
                <w:rFonts w:ascii="Verdana" w:hAnsi="Verdana" w:cs="Arial"/>
                <w:b/>
                <w:color w:val="009966"/>
                <w:sz w:val="28"/>
                <w:szCs w:val="28"/>
                <w:u w:val="single"/>
                <w:lang w:val="en-GB"/>
              </w:rPr>
              <w:t xml:space="preserve"> </w:t>
            </w:r>
          </w:p>
          <w:p w14:paraId="72DAA24C" w14:textId="77777777" w:rsidR="00A53DF1" w:rsidRPr="00A53DF1" w:rsidRDefault="00A53DF1" w:rsidP="00A53DF1">
            <w:pPr>
              <w:pStyle w:val="ListParagraph"/>
              <w:numPr>
                <w:ilvl w:val="0"/>
                <w:numId w:val="3"/>
              </w:numPr>
              <w:spacing w:after="120"/>
              <w:ind w:left="723"/>
              <w:rPr>
                <w:rFonts w:ascii="Verdana" w:hAnsi="Verdana" w:cs="Arial"/>
                <w:color w:val="000000" w:themeColor="text1"/>
                <w:szCs w:val="22"/>
              </w:rPr>
            </w:pPr>
            <w:r w:rsidRPr="00A53DF1">
              <w:rPr>
                <w:rFonts w:ascii="Verdana" w:hAnsi="Verdana" w:cs="Arial"/>
                <w:color w:val="000000" w:themeColor="text1"/>
                <w:sz w:val="22"/>
                <w:szCs w:val="22"/>
              </w:rPr>
              <w:t>Effective Secondary Prev</w:t>
            </w:r>
            <w:r>
              <w:rPr>
                <w:rFonts w:ascii="Verdana" w:hAnsi="Verdana" w:cs="Arial"/>
                <w:color w:val="000000" w:themeColor="text1"/>
                <w:sz w:val="22"/>
                <w:szCs w:val="22"/>
              </w:rPr>
              <w:t xml:space="preserve">ention of Fragility Fractures: </w:t>
            </w:r>
            <w:r w:rsidRPr="00A53DF1">
              <w:rPr>
                <w:rFonts w:ascii="Verdana" w:hAnsi="Verdana" w:cs="Arial"/>
                <w:color w:val="000000" w:themeColor="text1"/>
                <w:sz w:val="22"/>
                <w:szCs w:val="22"/>
              </w:rPr>
              <w:t>Standards for Fracture Liaison Services, 2014</w:t>
            </w:r>
            <w:r>
              <w:rPr>
                <w:rFonts w:ascii="Verdana" w:hAnsi="Verdana" w:cs="Arial"/>
                <w:color w:val="000000" w:themeColor="text1"/>
                <w:sz w:val="22"/>
                <w:szCs w:val="22"/>
              </w:rPr>
              <w:t xml:space="preserve">. Available at: </w:t>
            </w:r>
            <w:r w:rsidR="004F5248" w:rsidRPr="004F5248">
              <w:rPr>
                <w:rFonts w:ascii="Verdana" w:hAnsi="Verdana" w:cs="Arial"/>
                <w:sz w:val="22"/>
                <w:szCs w:val="22"/>
              </w:rPr>
              <w:t xml:space="preserve"> </w:t>
            </w:r>
            <w:hyperlink r:id="rId23" w:history="1">
              <w:r w:rsidR="004F5248" w:rsidRPr="00881DF3">
                <w:rPr>
                  <w:rStyle w:val="Hyperlink"/>
                  <w:rFonts w:ascii="Verdana" w:hAnsi="Verdana" w:cs="Arial"/>
                  <w:sz w:val="22"/>
                  <w:szCs w:val="22"/>
                </w:rPr>
                <w:t>http://www.nos.org.uk/document.doc?id=1941</w:t>
              </w:r>
            </w:hyperlink>
            <w:r w:rsidR="004F5248">
              <w:rPr>
                <w:rFonts w:ascii="Verdana" w:hAnsi="Verdana" w:cs="Arial"/>
                <w:sz w:val="22"/>
                <w:szCs w:val="22"/>
              </w:rPr>
              <w:t xml:space="preserve"> </w:t>
            </w:r>
            <w:r>
              <w:rPr>
                <w:rFonts w:ascii="Verdana" w:hAnsi="Verdana" w:cs="Arial"/>
                <w:color w:val="000000" w:themeColor="text1"/>
                <w:sz w:val="22"/>
                <w:szCs w:val="22"/>
              </w:rPr>
              <w:t xml:space="preserve"> </w:t>
            </w:r>
          </w:p>
          <w:p w14:paraId="48912130" w14:textId="77777777" w:rsidR="00A34A26" w:rsidRPr="00B7395D" w:rsidRDefault="00A34A26" w:rsidP="00A34A26">
            <w:pPr>
              <w:pStyle w:val="ListParagraph"/>
              <w:numPr>
                <w:ilvl w:val="0"/>
                <w:numId w:val="3"/>
              </w:numPr>
              <w:spacing w:after="120"/>
              <w:ind w:left="723"/>
              <w:rPr>
                <w:rFonts w:ascii="Verdana" w:hAnsi="Verdana" w:cs="Arial"/>
                <w:color w:val="000000" w:themeColor="text1"/>
                <w:szCs w:val="22"/>
              </w:rPr>
            </w:pPr>
            <w:r w:rsidRPr="00B7395D">
              <w:rPr>
                <w:rFonts w:ascii="Verdana" w:hAnsi="Verdana" w:cs="Arial"/>
                <w:color w:val="000000" w:themeColor="text1"/>
                <w:sz w:val="22"/>
                <w:szCs w:val="22"/>
              </w:rPr>
              <w:t>National Osteoporosis Society, 2012. Breaking Through: Building Better Falls and Fracture Services in England</w:t>
            </w:r>
            <w:r w:rsidR="00794DF7">
              <w:rPr>
                <w:rFonts w:ascii="Verdana" w:hAnsi="Verdana" w:cs="Arial"/>
                <w:color w:val="000000" w:themeColor="text1"/>
                <w:sz w:val="22"/>
                <w:szCs w:val="22"/>
              </w:rPr>
              <w:t xml:space="preserve">. </w:t>
            </w:r>
            <w:r w:rsidRPr="00B7395D">
              <w:rPr>
                <w:rFonts w:ascii="Verdana" w:hAnsi="Verdana" w:cs="Arial"/>
                <w:color w:val="000000" w:themeColor="text1"/>
                <w:sz w:val="22"/>
                <w:szCs w:val="22"/>
              </w:rPr>
              <w:t xml:space="preserve">London: </w:t>
            </w:r>
            <w:r w:rsidR="00794DF7">
              <w:rPr>
                <w:rFonts w:ascii="Verdana" w:hAnsi="Verdana" w:cs="Arial"/>
                <w:color w:val="000000" w:themeColor="text1"/>
                <w:sz w:val="22"/>
                <w:szCs w:val="22"/>
              </w:rPr>
              <w:t xml:space="preserve">National Osteoporosis Society. </w:t>
            </w:r>
            <w:r w:rsidRPr="00B7395D">
              <w:rPr>
                <w:rFonts w:ascii="Verdana" w:hAnsi="Verdana" w:cs="Arial"/>
                <w:color w:val="000000" w:themeColor="text1"/>
                <w:sz w:val="22"/>
                <w:szCs w:val="22"/>
              </w:rPr>
              <w:t xml:space="preserve">Available at: </w:t>
            </w:r>
            <w:hyperlink r:id="rId24" w:history="1">
              <w:r w:rsidRPr="00B7395D">
                <w:rPr>
                  <w:rStyle w:val="Hyperlink"/>
                  <w:rFonts w:ascii="Verdana" w:hAnsi="Verdana" w:cs="Arial"/>
                  <w:sz w:val="22"/>
                  <w:szCs w:val="22"/>
                </w:rPr>
                <w:t>http://www.nos.org.uk/document.doc?id=987</w:t>
              </w:r>
            </w:hyperlink>
            <w:r w:rsidRPr="00B7395D">
              <w:rPr>
                <w:rFonts w:ascii="Verdana" w:hAnsi="Verdana" w:cs="Arial"/>
                <w:color w:val="000000" w:themeColor="text1"/>
                <w:sz w:val="22"/>
                <w:szCs w:val="22"/>
              </w:rPr>
              <w:t xml:space="preserve"> </w:t>
            </w:r>
            <w:r w:rsidR="00B70D45" w:rsidRPr="00B7395D">
              <w:rPr>
                <w:rFonts w:ascii="Verdana" w:hAnsi="Verdana" w:cs="Arial"/>
                <w:color w:val="000000" w:themeColor="text1"/>
                <w:sz w:val="22"/>
                <w:szCs w:val="22"/>
              </w:rPr>
              <w:t xml:space="preserve"> </w:t>
            </w:r>
          </w:p>
          <w:p w14:paraId="02B317B7" w14:textId="77777777" w:rsidR="00E704E1" w:rsidRPr="00B7395D" w:rsidRDefault="00BD0F0A" w:rsidP="003A13F6">
            <w:pPr>
              <w:pStyle w:val="ListParagraph"/>
              <w:numPr>
                <w:ilvl w:val="0"/>
                <w:numId w:val="3"/>
              </w:numPr>
              <w:ind w:left="720" w:hanging="357"/>
              <w:rPr>
                <w:rFonts w:ascii="Verdana" w:hAnsi="Verdana" w:cs="Arial"/>
                <w:color w:val="000000" w:themeColor="text1"/>
                <w:szCs w:val="22"/>
              </w:rPr>
            </w:pPr>
            <w:r w:rsidRPr="00B7395D">
              <w:rPr>
                <w:rFonts w:ascii="Verdana" w:hAnsi="Verdana" w:cs="Arial"/>
                <w:color w:val="000000" w:themeColor="text1"/>
                <w:sz w:val="22"/>
                <w:szCs w:val="22"/>
              </w:rPr>
              <w:t>Royal College Physicians</w:t>
            </w:r>
            <w:r w:rsidR="00CF7140" w:rsidRPr="00B7395D">
              <w:rPr>
                <w:rFonts w:ascii="Verdana" w:hAnsi="Verdana" w:cs="Arial"/>
                <w:color w:val="000000" w:themeColor="text1"/>
                <w:sz w:val="22"/>
                <w:szCs w:val="22"/>
              </w:rPr>
              <w:t xml:space="preserve"> recommends </w:t>
            </w:r>
            <w:r w:rsidR="00AF515C" w:rsidRPr="00B7395D">
              <w:rPr>
                <w:rFonts w:ascii="Verdana" w:hAnsi="Verdana" w:cs="Arial"/>
                <w:color w:val="000000" w:themeColor="text1"/>
                <w:sz w:val="22"/>
                <w:szCs w:val="22"/>
              </w:rPr>
              <w:t>that commissioners use the Department of Health p</w:t>
            </w:r>
            <w:r w:rsidR="00CF7140" w:rsidRPr="00B7395D">
              <w:rPr>
                <w:rFonts w:ascii="Verdana" w:hAnsi="Verdana" w:cs="Arial"/>
                <w:color w:val="000000" w:themeColor="text1"/>
                <w:sz w:val="22"/>
                <w:szCs w:val="22"/>
              </w:rPr>
              <w:t>revention package to inform the commissioning of effective falls and fracture services</w:t>
            </w:r>
            <w:r w:rsidR="00290971" w:rsidRPr="00B7395D">
              <w:rPr>
                <w:rFonts w:ascii="Verdana" w:hAnsi="Verdana" w:cs="Arial"/>
                <w:color w:val="000000" w:themeColor="text1"/>
                <w:sz w:val="22"/>
                <w:szCs w:val="22"/>
              </w:rPr>
              <w:t xml:space="preserve">. See Objective 2 in </w:t>
            </w:r>
            <w:r w:rsidR="00290971" w:rsidRPr="00B7395D">
              <w:rPr>
                <w:rFonts w:ascii="Verdana" w:hAnsi="Verdana" w:cs="Arial"/>
                <w:i/>
                <w:color w:val="000000" w:themeColor="text1"/>
                <w:sz w:val="22"/>
                <w:szCs w:val="22"/>
              </w:rPr>
              <w:t>Falls and Fractures: Effective interventions in health and social care</w:t>
            </w:r>
            <w:r w:rsidR="00290971" w:rsidRPr="00B7395D">
              <w:rPr>
                <w:rFonts w:ascii="Verdana" w:hAnsi="Verdana" w:cs="Arial"/>
                <w:color w:val="000000" w:themeColor="text1"/>
                <w:sz w:val="22"/>
                <w:szCs w:val="22"/>
              </w:rPr>
              <w:t xml:space="preserve"> at</w:t>
            </w:r>
          </w:p>
          <w:p w14:paraId="2BA182D3" w14:textId="77777777" w:rsidR="00AF515C" w:rsidRPr="00B7395D" w:rsidRDefault="0065043F" w:rsidP="00290971">
            <w:pPr>
              <w:pStyle w:val="ListParagraph"/>
              <w:spacing w:after="120"/>
              <w:rPr>
                <w:rFonts w:ascii="Verdana" w:hAnsi="Verdana" w:cs="Arial"/>
                <w:color w:val="0070C0"/>
                <w:szCs w:val="22"/>
              </w:rPr>
            </w:pPr>
            <w:hyperlink r:id="rId25" w:history="1">
              <w:r w:rsidR="00AF515C" w:rsidRPr="00B7395D">
                <w:rPr>
                  <w:rStyle w:val="Hyperlink"/>
                  <w:rFonts w:ascii="Verdana" w:hAnsi="Verdana" w:cs="Arial"/>
                  <w:sz w:val="22"/>
                  <w:szCs w:val="22"/>
                </w:rPr>
                <w:t>http://www.laterlifetraining.co.uk/wp-content/uploads/2011/12/FF_Effective-Interventions-in-health-and-social-care.pdf</w:t>
              </w:r>
            </w:hyperlink>
          </w:p>
          <w:p w14:paraId="6E24AD19" w14:textId="77777777" w:rsidR="00E704E1" w:rsidRPr="00B7395D" w:rsidRDefault="005C32CF" w:rsidP="007759C1">
            <w:pPr>
              <w:pStyle w:val="ListParagraph"/>
              <w:numPr>
                <w:ilvl w:val="0"/>
                <w:numId w:val="3"/>
              </w:numPr>
              <w:spacing w:after="120"/>
              <w:ind w:left="720" w:hanging="357"/>
              <w:rPr>
                <w:rFonts w:ascii="Verdana" w:hAnsi="Verdana" w:cs="Arial"/>
                <w:color w:val="000000" w:themeColor="text1"/>
                <w:szCs w:val="22"/>
              </w:rPr>
            </w:pPr>
            <w:r w:rsidRPr="00B7395D">
              <w:rPr>
                <w:rFonts w:ascii="Verdana" w:hAnsi="Verdana" w:cs="Arial"/>
                <w:color w:val="000000" w:themeColor="text1"/>
                <w:sz w:val="22"/>
                <w:szCs w:val="22"/>
              </w:rPr>
              <w:t>Interna</w:t>
            </w:r>
            <w:r w:rsidR="00BD0F0A" w:rsidRPr="00B7395D">
              <w:rPr>
                <w:rFonts w:ascii="Verdana" w:hAnsi="Verdana" w:cs="Arial"/>
                <w:color w:val="000000" w:themeColor="text1"/>
                <w:sz w:val="22"/>
                <w:szCs w:val="22"/>
              </w:rPr>
              <w:t>tional Osteoporosis Foundation,</w:t>
            </w:r>
            <w:r w:rsidRPr="00B7395D">
              <w:rPr>
                <w:rFonts w:ascii="Verdana" w:hAnsi="Verdana" w:cs="Arial"/>
                <w:color w:val="000000" w:themeColor="text1"/>
                <w:sz w:val="22"/>
                <w:szCs w:val="22"/>
              </w:rPr>
              <w:t xml:space="preserve"> Capture the Fracture – global campaign to break the fragility fracture cycl</w:t>
            </w:r>
            <w:r w:rsidR="0040520C" w:rsidRPr="00B7395D">
              <w:rPr>
                <w:rFonts w:ascii="Verdana" w:hAnsi="Verdana" w:cs="Arial"/>
                <w:color w:val="000000" w:themeColor="text1"/>
                <w:sz w:val="22"/>
                <w:szCs w:val="22"/>
              </w:rPr>
              <w:t>e</w:t>
            </w:r>
            <w:r w:rsidR="00794DF7">
              <w:rPr>
                <w:rFonts w:ascii="Verdana" w:hAnsi="Verdana" w:cs="Arial"/>
                <w:color w:val="000000" w:themeColor="text1"/>
                <w:sz w:val="22"/>
                <w:szCs w:val="22"/>
              </w:rPr>
              <w:t xml:space="preserve">. Available at: </w:t>
            </w:r>
            <w:hyperlink r:id="rId26" w:history="1">
              <w:r w:rsidR="00BD0F0A" w:rsidRPr="00B7395D">
                <w:rPr>
                  <w:rStyle w:val="Hyperlink"/>
                  <w:rFonts w:ascii="Verdana" w:hAnsi="Verdana" w:cs="Arial"/>
                  <w:sz w:val="22"/>
                  <w:szCs w:val="22"/>
                  <w:u w:val="none"/>
                </w:rPr>
                <w:t>http://www.iofbonehealth.org/capture-fracture</w:t>
              </w:r>
            </w:hyperlink>
          </w:p>
          <w:p w14:paraId="10117DC3" w14:textId="77777777" w:rsidR="00290971" w:rsidRPr="00B7395D" w:rsidRDefault="00290971" w:rsidP="00290971">
            <w:pPr>
              <w:pStyle w:val="ListParagraph"/>
              <w:numPr>
                <w:ilvl w:val="0"/>
                <w:numId w:val="3"/>
              </w:numPr>
              <w:spacing w:after="120"/>
              <w:ind w:left="723"/>
              <w:rPr>
                <w:rFonts w:ascii="Verdana" w:hAnsi="Verdana" w:cs="Arial"/>
                <w:color w:val="000000" w:themeColor="text1"/>
                <w:szCs w:val="22"/>
              </w:rPr>
            </w:pPr>
            <w:r w:rsidRPr="00B7395D">
              <w:rPr>
                <w:rFonts w:ascii="Verdana" w:hAnsi="Verdana" w:cs="Arial"/>
                <w:color w:val="000000" w:themeColor="text1"/>
                <w:sz w:val="22"/>
                <w:szCs w:val="22"/>
              </w:rPr>
              <w:t>British Orthopaedic Association, 2007. The Blue Book: The Care of Patients with Fragility Fractures</w:t>
            </w:r>
            <w:r w:rsidR="00794DF7">
              <w:rPr>
                <w:rFonts w:ascii="Verdana" w:hAnsi="Verdana" w:cs="Arial"/>
                <w:color w:val="000000" w:themeColor="text1"/>
                <w:sz w:val="22"/>
                <w:szCs w:val="22"/>
              </w:rPr>
              <w:t xml:space="preserve">. </w:t>
            </w:r>
            <w:r w:rsidRPr="00B7395D">
              <w:rPr>
                <w:rFonts w:ascii="Verdana" w:hAnsi="Verdana" w:cs="Arial"/>
                <w:color w:val="000000" w:themeColor="text1"/>
                <w:sz w:val="22"/>
                <w:szCs w:val="22"/>
              </w:rPr>
              <w:t>London: Br</w:t>
            </w:r>
            <w:r w:rsidR="00794DF7">
              <w:rPr>
                <w:rFonts w:ascii="Verdana" w:hAnsi="Verdana" w:cs="Arial"/>
                <w:color w:val="000000" w:themeColor="text1"/>
                <w:sz w:val="22"/>
                <w:szCs w:val="22"/>
              </w:rPr>
              <w:t xml:space="preserve">itish Orthopaedic Association. </w:t>
            </w:r>
            <w:r w:rsidRPr="00B7395D">
              <w:rPr>
                <w:rFonts w:ascii="Verdana" w:hAnsi="Verdana" w:cs="Arial"/>
                <w:color w:val="000000" w:themeColor="text1"/>
                <w:sz w:val="22"/>
                <w:szCs w:val="22"/>
              </w:rPr>
              <w:t xml:space="preserve">Available at: </w:t>
            </w:r>
            <w:hyperlink r:id="rId27" w:history="1">
              <w:r w:rsidRPr="00B7395D">
                <w:rPr>
                  <w:rStyle w:val="Hyperlink"/>
                  <w:rFonts w:ascii="Verdana" w:hAnsi="Verdana" w:cs="Arial"/>
                  <w:sz w:val="22"/>
                  <w:szCs w:val="22"/>
                </w:rPr>
                <w:t>http://www.fractures.com/pdf/BOA-BGS-Blue-Book.pdf</w:t>
              </w:r>
            </w:hyperlink>
            <w:r w:rsidRPr="00B7395D">
              <w:rPr>
                <w:rFonts w:ascii="Verdana" w:hAnsi="Verdana" w:cs="Arial"/>
                <w:color w:val="000000" w:themeColor="text1"/>
                <w:sz w:val="22"/>
                <w:szCs w:val="22"/>
              </w:rPr>
              <w:t xml:space="preserve"> </w:t>
            </w:r>
          </w:p>
          <w:p w14:paraId="0A12680D" w14:textId="77777777" w:rsidR="00E704E1" w:rsidRPr="00B7395D" w:rsidRDefault="00A4001D" w:rsidP="00194D0B">
            <w:pPr>
              <w:pStyle w:val="ListParagraph"/>
              <w:numPr>
                <w:ilvl w:val="0"/>
                <w:numId w:val="13"/>
              </w:numPr>
              <w:spacing w:after="120"/>
              <w:rPr>
                <w:rFonts w:ascii="Verdana" w:hAnsi="Verdana" w:cs="Arial"/>
                <w:color w:val="000000" w:themeColor="text1"/>
                <w:szCs w:val="22"/>
              </w:rPr>
            </w:pPr>
            <w:r w:rsidRPr="00B7395D">
              <w:rPr>
                <w:rFonts w:ascii="Verdana" w:hAnsi="Verdana" w:cs="Arial"/>
                <w:color w:val="000000" w:themeColor="text1"/>
                <w:sz w:val="22"/>
                <w:szCs w:val="22"/>
              </w:rPr>
              <w:t xml:space="preserve">Blue Book </w:t>
            </w:r>
            <w:r w:rsidR="0040520C" w:rsidRPr="00B7395D">
              <w:rPr>
                <w:rFonts w:ascii="Verdana" w:hAnsi="Verdana" w:cs="Arial"/>
                <w:color w:val="000000" w:themeColor="text1"/>
                <w:sz w:val="22"/>
                <w:szCs w:val="22"/>
              </w:rPr>
              <w:t xml:space="preserve">Standard 5 </w:t>
            </w:r>
            <w:r w:rsidR="00794DF7">
              <w:rPr>
                <w:rFonts w:ascii="Verdana" w:hAnsi="Verdana" w:cs="Arial"/>
                <w:color w:val="000000" w:themeColor="text1"/>
                <w:sz w:val="22"/>
                <w:szCs w:val="22"/>
              </w:rPr>
              <w:t>–</w:t>
            </w:r>
            <w:r w:rsidR="0040520C" w:rsidRPr="00B7395D">
              <w:rPr>
                <w:rFonts w:ascii="Verdana" w:hAnsi="Verdana" w:cs="Arial"/>
                <w:color w:val="000000" w:themeColor="text1"/>
                <w:sz w:val="22"/>
                <w:szCs w:val="22"/>
              </w:rPr>
              <w:t xml:space="preserve"> All</w:t>
            </w:r>
            <w:r w:rsidR="00794DF7">
              <w:rPr>
                <w:rFonts w:ascii="Verdana" w:hAnsi="Verdana" w:cs="Arial"/>
                <w:color w:val="000000" w:themeColor="text1"/>
                <w:sz w:val="22"/>
                <w:szCs w:val="22"/>
              </w:rPr>
              <w:t xml:space="preserve"> </w:t>
            </w:r>
            <w:r w:rsidR="0040520C" w:rsidRPr="00B7395D">
              <w:rPr>
                <w:rFonts w:ascii="Verdana" w:hAnsi="Verdana" w:cs="Arial"/>
                <w:color w:val="000000" w:themeColor="text1"/>
                <w:sz w:val="22"/>
                <w:szCs w:val="22"/>
              </w:rPr>
              <w:t>patients presenting with fragility fracture should be assessed to</w:t>
            </w:r>
            <w:r w:rsidR="00BE6926" w:rsidRPr="00B7395D">
              <w:rPr>
                <w:rFonts w:ascii="Verdana" w:hAnsi="Verdana" w:cs="Arial"/>
                <w:color w:val="000000" w:themeColor="text1"/>
                <w:sz w:val="22"/>
                <w:szCs w:val="22"/>
              </w:rPr>
              <w:t xml:space="preserve"> </w:t>
            </w:r>
            <w:r w:rsidR="0040520C" w:rsidRPr="00B7395D">
              <w:rPr>
                <w:rFonts w:ascii="Verdana" w:hAnsi="Verdana" w:cs="Arial"/>
                <w:color w:val="000000" w:themeColor="text1"/>
                <w:sz w:val="22"/>
                <w:szCs w:val="22"/>
              </w:rPr>
              <w:t>determine their need for antiresorptive therapy to prevent future</w:t>
            </w:r>
            <w:r w:rsidR="00BE6926" w:rsidRPr="00B7395D">
              <w:rPr>
                <w:rFonts w:ascii="Verdana" w:hAnsi="Verdana" w:cs="Arial"/>
                <w:color w:val="000000" w:themeColor="text1"/>
                <w:sz w:val="22"/>
                <w:szCs w:val="22"/>
              </w:rPr>
              <w:t xml:space="preserve"> fractures</w:t>
            </w:r>
            <w:r w:rsidR="00794DF7">
              <w:rPr>
                <w:rFonts w:ascii="Verdana" w:hAnsi="Verdana" w:cs="Arial"/>
                <w:color w:val="000000" w:themeColor="text1"/>
                <w:sz w:val="22"/>
                <w:szCs w:val="22"/>
              </w:rPr>
              <w:t>.</w:t>
            </w:r>
          </w:p>
          <w:p w14:paraId="7F2E75C3" w14:textId="77777777" w:rsidR="00075A83" w:rsidRPr="00B7395D" w:rsidRDefault="00A4001D" w:rsidP="00194D0B">
            <w:pPr>
              <w:pStyle w:val="ListParagraph"/>
              <w:numPr>
                <w:ilvl w:val="0"/>
                <w:numId w:val="13"/>
              </w:numPr>
              <w:spacing w:after="120"/>
              <w:rPr>
                <w:rFonts w:ascii="Verdana" w:hAnsi="Verdana" w:cs="Arial"/>
                <w:color w:val="000000" w:themeColor="text1"/>
                <w:szCs w:val="22"/>
              </w:rPr>
            </w:pPr>
            <w:r w:rsidRPr="00B7395D">
              <w:rPr>
                <w:rFonts w:ascii="Verdana" w:hAnsi="Verdana" w:cs="Arial"/>
                <w:color w:val="000000" w:themeColor="text1"/>
                <w:sz w:val="22"/>
                <w:szCs w:val="22"/>
              </w:rPr>
              <w:t xml:space="preserve">Blue Book </w:t>
            </w:r>
            <w:r w:rsidR="0040520C" w:rsidRPr="00B7395D">
              <w:rPr>
                <w:rFonts w:ascii="Verdana" w:hAnsi="Verdana" w:cs="Arial"/>
                <w:color w:val="000000" w:themeColor="text1"/>
                <w:sz w:val="22"/>
                <w:szCs w:val="22"/>
              </w:rPr>
              <w:t xml:space="preserve">Standard 6 </w:t>
            </w:r>
            <w:r w:rsidR="00794DF7">
              <w:rPr>
                <w:rFonts w:ascii="Verdana" w:hAnsi="Verdana" w:cs="Arial"/>
                <w:color w:val="000000" w:themeColor="text1"/>
                <w:sz w:val="22"/>
                <w:szCs w:val="22"/>
              </w:rPr>
              <w:t>–</w:t>
            </w:r>
            <w:r w:rsidR="0040520C" w:rsidRPr="00B7395D">
              <w:rPr>
                <w:rFonts w:ascii="Verdana" w:hAnsi="Verdana" w:cs="Arial"/>
                <w:color w:val="000000" w:themeColor="text1"/>
                <w:sz w:val="22"/>
                <w:szCs w:val="22"/>
              </w:rPr>
              <w:t xml:space="preserve"> </w:t>
            </w:r>
            <w:r w:rsidR="00D2161A" w:rsidRPr="00B7395D">
              <w:rPr>
                <w:rFonts w:ascii="Verdana" w:hAnsi="Verdana" w:cs="Arial"/>
                <w:color w:val="000000" w:themeColor="text1"/>
                <w:sz w:val="22"/>
                <w:szCs w:val="22"/>
              </w:rPr>
              <w:t>All</w:t>
            </w:r>
            <w:r w:rsidR="00794DF7">
              <w:rPr>
                <w:rFonts w:ascii="Verdana" w:hAnsi="Verdana" w:cs="Arial"/>
                <w:color w:val="000000" w:themeColor="text1"/>
                <w:sz w:val="22"/>
                <w:szCs w:val="22"/>
              </w:rPr>
              <w:t xml:space="preserve"> </w:t>
            </w:r>
            <w:r w:rsidR="00D2161A" w:rsidRPr="00B7395D">
              <w:rPr>
                <w:rFonts w:ascii="Verdana" w:hAnsi="Verdana" w:cs="Arial"/>
                <w:color w:val="000000" w:themeColor="text1"/>
                <w:sz w:val="22"/>
                <w:szCs w:val="22"/>
              </w:rPr>
              <w:t>patients presenting with a fragility fracture following a fall should be</w:t>
            </w:r>
            <w:r w:rsidR="0040520C" w:rsidRPr="00B7395D">
              <w:rPr>
                <w:rFonts w:ascii="Verdana" w:hAnsi="Verdana" w:cs="Arial"/>
                <w:color w:val="000000" w:themeColor="text1"/>
                <w:sz w:val="22"/>
                <w:szCs w:val="22"/>
              </w:rPr>
              <w:t xml:space="preserve"> </w:t>
            </w:r>
            <w:r w:rsidR="00D2161A" w:rsidRPr="00B7395D">
              <w:rPr>
                <w:rFonts w:ascii="Verdana" w:hAnsi="Verdana" w:cs="Arial"/>
                <w:color w:val="000000" w:themeColor="text1"/>
                <w:sz w:val="22"/>
                <w:szCs w:val="22"/>
              </w:rPr>
              <w:t>offered multidisciplinary assessment and intervention to prevent</w:t>
            </w:r>
            <w:r w:rsidR="0040520C" w:rsidRPr="00B7395D">
              <w:rPr>
                <w:rFonts w:ascii="Verdana" w:hAnsi="Verdana" w:cs="Arial"/>
                <w:color w:val="000000" w:themeColor="text1"/>
                <w:sz w:val="22"/>
                <w:szCs w:val="22"/>
              </w:rPr>
              <w:t xml:space="preserve"> future falls.</w:t>
            </w:r>
          </w:p>
          <w:p w14:paraId="3468BF23" w14:textId="77777777" w:rsidR="00466D87" w:rsidRPr="00B7395D" w:rsidRDefault="00466D87" w:rsidP="00194D0B">
            <w:pPr>
              <w:pStyle w:val="ListParagraph"/>
              <w:spacing w:after="120"/>
              <w:ind w:left="1440"/>
              <w:rPr>
                <w:rFonts w:ascii="Verdana" w:hAnsi="Verdana" w:cs="Arial"/>
                <w:color w:val="000000" w:themeColor="text1"/>
                <w:szCs w:val="22"/>
              </w:rPr>
            </w:pPr>
          </w:p>
          <w:p w14:paraId="317980F3" w14:textId="77777777" w:rsidR="00075A83" w:rsidRPr="00B7395D" w:rsidRDefault="00075A83" w:rsidP="000B2192">
            <w:pPr>
              <w:spacing w:after="120"/>
              <w:rPr>
                <w:rFonts w:ascii="Verdana" w:hAnsi="Verdana" w:cs="Arial"/>
                <w:b/>
                <w:color w:val="009966"/>
                <w:sz w:val="28"/>
                <w:szCs w:val="28"/>
                <w:lang w:val="en-GB"/>
              </w:rPr>
            </w:pPr>
            <w:r w:rsidRPr="00B7395D">
              <w:rPr>
                <w:rFonts w:ascii="Verdana" w:hAnsi="Verdana" w:cs="Arial"/>
                <w:b/>
                <w:color w:val="009966"/>
                <w:sz w:val="28"/>
                <w:szCs w:val="28"/>
                <w:lang w:val="en-GB"/>
              </w:rPr>
              <w:t>4.3</w:t>
            </w:r>
            <w:r w:rsidR="00F16A82" w:rsidRPr="00B7395D">
              <w:rPr>
                <w:rFonts w:ascii="Verdana" w:hAnsi="Verdana" w:cs="Arial"/>
                <w:b/>
                <w:color w:val="009966"/>
                <w:sz w:val="28"/>
                <w:szCs w:val="28"/>
                <w:lang w:val="en-GB"/>
              </w:rPr>
              <w:t xml:space="preserve"> </w:t>
            </w:r>
            <w:r w:rsidRPr="00B7395D">
              <w:rPr>
                <w:rFonts w:ascii="Verdana" w:hAnsi="Verdana" w:cs="Arial"/>
                <w:b/>
                <w:color w:val="009966"/>
                <w:sz w:val="28"/>
                <w:szCs w:val="28"/>
                <w:lang w:val="en-GB"/>
              </w:rPr>
              <w:t>Applicable local standards</w:t>
            </w:r>
          </w:p>
          <w:p w14:paraId="1D54BEF3" w14:textId="77777777" w:rsidR="00075A83" w:rsidRPr="00B7395D" w:rsidRDefault="00A4001D" w:rsidP="007759C1">
            <w:pPr>
              <w:spacing w:after="120"/>
              <w:ind w:left="357"/>
              <w:rPr>
                <w:rFonts w:ascii="Verdana" w:hAnsi="Verdana" w:cs="Arial"/>
                <w:b/>
                <w:szCs w:val="22"/>
                <w:lang w:val="en-GB"/>
              </w:rPr>
            </w:pPr>
            <w:r w:rsidRPr="00B7395D">
              <w:rPr>
                <w:rFonts w:ascii="Verdana" w:hAnsi="Verdana" w:cs="Arial"/>
                <w:b/>
                <w:sz w:val="22"/>
                <w:szCs w:val="22"/>
                <w:lang w:val="en-GB"/>
              </w:rPr>
              <w:t>[Insert agreed local standards here]</w:t>
            </w:r>
          </w:p>
          <w:p w14:paraId="572E2D7E" w14:textId="77777777" w:rsidR="00900CFA" w:rsidRPr="00B7395D" w:rsidRDefault="00900CFA" w:rsidP="007759C1">
            <w:pPr>
              <w:spacing w:after="120"/>
              <w:ind w:left="357"/>
              <w:rPr>
                <w:rFonts w:ascii="Verdana" w:hAnsi="Verdana" w:cs="Arial"/>
                <w:b/>
                <w:szCs w:val="22"/>
                <w:lang w:val="en-GB"/>
              </w:rPr>
            </w:pPr>
          </w:p>
        </w:tc>
      </w:tr>
      <w:tr w:rsidR="00075A83" w:rsidRPr="00B7395D" w14:paraId="46D670BB" w14:textId="77777777" w:rsidTr="007D3594">
        <w:trPr>
          <w:trHeight w:val="268"/>
        </w:trPr>
        <w:tc>
          <w:tcPr>
            <w:tcW w:w="8908" w:type="dxa"/>
            <w:shd w:val="clear" w:color="auto" w:fill="595959"/>
          </w:tcPr>
          <w:p w14:paraId="4B34E232" w14:textId="77777777" w:rsidR="00075A83" w:rsidRPr="00B7395D" w:rsidRDefault="006B0FC3" w:rsidP="0026228C">
            <w:pPr>
              <w:pStyle w:val="Mainheading"/>
              <w:rPr>
                <w:rFonts w:ascii="Verdana" w:hAnsi="Verdana"/>
              </w:rPr>
            </w:pPr>
            <w:r>
              <w:rPr>
                <w:rFonts w:ascii="Verdana" w:hAnsi="Verdana"/>
              </w:rPr>
              <w:t>5.</w:t>
            </w:r>
            <w:r>
              <w:rPr>
                <w:rFonts w:ascii="Verdana" w:hAnsi="Verdana"/>
              </w:rPr>
              <w:tab/>
              <w:t>Applicable Quality Requirements and CQUIN G</w:t>
            </w:r>
            <w:r w:rsidR="00075A83" w:rsidRPr="00B7395D">
              <w:rPr>
                <w:rFonts w:ascii="Verdana" w:hAnsi="Verdana"/>
              </w:rPr>
              <w:t>oals</w:t>
            </w:r>
          </w:p>
        </w:tc>
      </w:tr>
      <w:tr w:rsidR="00075A83" w:rsidRPr="00B7395D" w14:paraId="042B5ACD" w14:textId="77777777" w:rsidTr="007D3594">
        <w:trPr>
          <w:trHeight w:val="899"/>
        </w:trPr>
        <w:tc>
          <w:tcPr>
            <w:tcW w:w="8908" w:type="dxa"/>
            <w:shd w:val="clear" w:color="auto" w:fill="auto"/>
          </w:tcPr>
          <w:p w14:paraId="2BAF843C" w14:textId="77777777" w:rsidR="00075A83" w:rsidRPr="00B7395D" w:rsidRDefault="00D31CF0" w:rsidP="007759C1">
            <w:pPr>
              <w:spacing w:before="120" w:after="120"/>
              <w:rPr>
                <w:rFonts w:ascii="Verdana" w:hAnsi="Verdana" w:cs="Arial"/>
                <w:b/>
                <w:color w:val="009966"/>
                <w:sz w:val="28"/>
                <w:szCs w:val="28"/>
                <w:lang w:val="en-GB"/>
              </w:rPr>
            </w:pPr>
            <w:r w:rsidRPr="00B7395D">
              <w:rPr>
                <w:rFonts w:ascii="Verdana" w:hAnsi="Verdana" w:cs="Arial"/>
                <w:b/>
                <w:color w:val="009966"/>
                <w:sz w:val="28"/>
                <w:szCs w:val="28"/>
                <w:lang w:val="en-GB"/>
              </w:rPr>
              <w:t xml:space="preserve">5.1 </w:t>
            </w:r>
            <w:r w:rsidR="00075A83" w:rsidRPr="00B7395D">
              <w:rPr>
                <w:rFonts w:ascii="Verdana" w:hAnsi="Verdana" w:cs="Arial"/>
                <w:b/>
                <w:color w:val="009966"/>
                <w:sz w:val="28"/>
                <w:szCs w:val="28"/>
                <w:lang w:val="en-GB"/>
              </w:rPr>
              <w:t>Applicable Quality Requirements (See Schedule 4 Parts [A-D])</w:t>
            </w:r>
          </w:p>
          <w:p w14:paraId="0770C486" w14:textId="77777777" w:rsidR="00362482" w:rsidRPr="00B7395D" w:rsidRDefault="00D31CF0" w:rsidP="007759C1">
            <w:pPr>
              <w:spacing w:after="120"/>
              <w:ind w:left="357"/>
              <w:rPr>
                <w:rFonts w:ascii="Verdana" w:hAnsi="Verdana" w:cs="Arial"/>
                <w:b/>
                <w:szCs w:val="22"/>
                <w:lang w:val="en-GB"/>
              </w:rPr>
            </w:pPr>
            <w:r w:rsidRPr="00B7395D">
              <w:rPr>
                <w:rFonts w:ascii="Verdana" w:hAnsi="Verdana" w:cs="Arial"/>
                <w:b/>
                <w:sz w:val="22"/>
                <w:szCs w:val="22"/>
                <w:lang w:val="en-GB"/>
              </w:rPr>
              <w:t>[Insert agreed local quality requirements here]</w:t>
            </w:r>
          </w:p>
          <w:p w14:paraId="0C2FEA2D" w14:textId="77777777" w:rsidR="00194D0B" w:rsidRPr="00B7395D" w:rsidRDefault="00194D0B" w:rsidP="007759C1">
            <w:pPr>
              <w:spacing w:after="120"/>
              <w:ind w:left="357"/>
              <w:rPr>
                <w:rFonts w:ascii="Verdana" w:hAnsi="Verdana" w:cs="Arial"/>
                <w:b/>
                <w:szCs w:val="22"/>
                <w:lang w:val="en-GB"/>
              </w:rPr>
            </w:pPr>
          </w:p>
          <w:p w14:paraId="25377B3E" w14:textId="77777777" w:rsidR="00075A83" w:rsidRPr="00B7395D" w:rsidRDefault="00D31CF0" w:rsidP="00D31CF0">
            <w:pPr>
              <w:spacing w:after="120"/>
              <w:rPr>
                <w:rFonts w:ascii="Verdana" w:hAnsi="Verdana" w:cs="Arial"/>
                <w:b/>
                <w:color w:val="009966"/>
                <w:sz w:val="28"/>
                <w:szCs w:val="28"/>
                <w:lang w:val="en-GB"/>
              </w:rPr>
            </w:pPr>
            <w:r w:rsidRPr="00B7395D">
              <w:rPr>
                <w:rFonts w:ascii="Verdana" w:hAnsi="Verdana" w:cs="Arial"/>
                <w:b/>
                <w:color w:val="009966"/>
                <w:sz w:val="28"/>
                <w:szCs w:val="28"/>
                <w:lang w:val="en-GB"/>
              </w:rPr>
              <w:t>5.2 Applicable CQUIN goals</w:t>
            </w:r>
          </w:p>
          <w:p w14:paraId="5C7FCA85" w14:textId="77777777" w:rsidR="00D31CF0" w:rsidRPr="00B7395D" w:rsidRDefault="00D31CF0" w:rsidP="00D31CF0">
            <w:pPr>
              <w:spacing w:after="120"/>
              <w:ind w:left="357"/>
              <w:rPr>
                <w:rFonts w:ascii="Verdana" w:hAnsi="Verdana" w:cs="Arial"/>
                <w:b/>
                <w:szCs w:val="22"/>
                <w:lang w:val="en-GB"/>
              </w:rPr>
            </w:pPr>
            <w:r w:rsidRPr="00B7395D">
              <w:rPr>
                <w:rFonts w:ascii="Verdana" w:hAnsi="Verdana" w:cs="Arial"/>
                <w:b/>
                <w:sz w:val="22"/>
                <w:szCs w:val="22"/>
                <w:lang w:val="en-GB"/>
              </w:rPr>
              <w:t xml:space="preserve"> [Insert agreed local CQUIN goals here]</w:t>
            </w:r>
          </w:p>
          <w:p w14:paraId="2D8937B8" w14:textId="77777777" w:rsidR="00075A83" w:rsidRPr="00B7395D" w:rsidRDefault="00075A83" w:rsidP="000B2192">
            <w:pPr>
              <w:spacing w:after="120"/>
              <w:rPr>
                <w:rFonts w:ascii="Verdana" w:hAnsi="Verdana" w:cs="Arial"/>
                <w:sz w:val="20"/>
                <w:lang w:val="en-GB"/>
              </w:rPr>
            </w:pPr>
          </w:p>
        </w:tc>
      </w:tr>
      <w:tr w:rsidR="00075A83" w:rsidRPr="00B7395D" w14:paraId="56B70315" w14:textId="77777777" w:rsidTr="007D3594">
        <w:trPr>
          <w:trHeight w:val="268"/>
        </w:trPr>
        <w:tc>
          <w:tcPr>
            <w:tcW w:w="8908" w:type="dxa"/>
            <w:shd w:val="clear" w:color="auto" w:fill="595959"/>
          </w:tcPr>
          <w:p w14:paraId="0E470C7E" w14:textId="77777777" w:rsidR="00075A83" w:rsidRPr="00B7395D" w:rsidRDefault="00075A83" w:rsidP="0026228C">
            <w:pPr>
              <w:pStyle w:val="Mainheading"/>
              <w:rPr>
                <w:rFonts w:ascii="Verdana" w:hAnsi="Verdana"/>
              </w:rPr>
            </w:pPr>
            <w:r w:rsidRPr="00B7395D">
              <w:rPr>
                <w:rFonts w:ascii="Verdana" w:hAnsi="Verdana"/>
              </w:rPr>
              <w:t>6.</w:t>
            </w:r>
            <w:r w:rsidRPr="00B7395D">
              <w:rPr>
                <w:rFonts w:ascii="Verdana" w:hAnsi="Verdana"/>
              </w:rPr>
              <w:tab/>
              <w:t>Location of Provider Premises</w:t>
            </w:r>
          </w:p>
        </w:tc>
      </w:tr>
      <w:tr w:rsidR="00075A83" w:rsidRPr="00B7395D" w14:paraId="5CEC821B" w14:textId="77777777" w:rsidTr="007D3594">
        <w:trPr>
          <w:trHeight w:val="1353"/>
        </w:trPr>
        <w:tc>
          <w:tcPr>
            <w:tcW w:w="8908" w:type="dxa"/>
            <w:shd w:val="clear" w:color="auto" w:fill="auto"/>
          </w:tcPr>
          <w:p w14:paraId="45FE1724" w14:textId="77777777" w:rsidR="00075A83" w:rsidRPr="00B7395D" w:rsidRDefault="006B6BAE" w:rsidP="007759C1">
            <w:pPr>
              <w:spacing w:before="120" w:after="120"/>
              <w:ind w:left="357"/>
              <w:rPr>
                <w:rFonts w:ascii="Verdana" w:eastAsia="MS ??" w:hAnsi="Verdana" w:cs="Arial"/>
                <w:color w:val="000000"/>
                <w:szCs w:val="22"/>
                <w:lang w:val="en-GB" w:eastAsia="en-GB"/>
              </w:rPr>
            </w:pPr>
            <w:r w:rsidRPr="00B7395D">
              <w:rPr>
                <w:rFonts w:ascii="Verdana" w:eastAsia="MS ??" w:hAnsi="Verdana" w:cs="Arial"/>
                <w:color w:val="000000"/>
                <w:sz w:val="22"/>
                <w:szCs w:val="22"/>
                <w:lang w:val="en-GB" w:eastAsia="en-GB"/>
              </w:rPr>
              <w:t>The p</w:t>
            </w:r>
            <w:r w:rsidR="00075A83" w:rsidRPr="00B7395D">
              <w:rPr>
                <w:rFonts w:ascii="Verdana" w:eastAsia="MS ??" w:hAnsi="Verdana" w:cs="Arial"/>
                <w:color w:val="000000"/>
                <w:sz w:val="22"/>
                <w:szCs w:val="22"/>
                <w:lang w:val="en-GB" w:eastAsia="en-GB"/>
              </w:rPr>
              <w:t>rovider’</w:t>
            </w:r>
            <w:r w:rsidRPr="00B7395D">
              <w:rPr>
                <w:rFonts w:ascii="Verdana" w:eastAsia="MS ??" w:hAnsi="Verdana" w:cs="Arial"/>
                <w:color w:val="000000"/>
                <w:sz w:val="22"/>
                <w:szCs w:val="22"/>
                <w:lang w:val="en-GB" w:eastAsia="en-GB"/>
              </w:rPr>
              <w:t>s p</w:t>
            </w:r>
            <w:r w:rsidR="00075A83" w:rsidRPr="00B7395D">
              <w:rPr>
                <w:rFonts w:ascii="Verdana" w:eastAsia="MS ??" w:hAnsi="Verdana" w:cs="Arial"/>
                <w:color w:val="000000"/>
                <w:sz w:val="22"/>
                <w:szCs w:val="22"/>
                <w:lang w:val="en-GB" w:eastAsia="en-GB"/>
              </w:rPr>
              <w:t>remises are located at:</w:t>
            </w:r>
          </w:p>
          <w:p w14:paraId="3FCAAA1A" w14:textId="77777777" w:rsidR="00075A83" w:rsidRPr="00B7395D" w:rsidRDefault="006B6BAE" w:rsidP="007759C1">
            <w:pPr>
              <w:spacing w:after="120"/>
              <w:ind w:left="357"/>
              <w:rPr>
                <w:rFonts w:ascii="Verdana" w:hAnsi="Verdana" w:cs="Arial"/>
                <w:b/>
                <w:szCs w:val="22"/>
                <w:lang w:val="en-GB"/>
              </w:rPr>
            </w:pPr>
            <w:r w:rsidRPr="00B7395D">
              <w:rPr>
                <w:rFonts w:ascii="Verdana" w:hAnsi="Verdana" w:cs="Arial"/>
                <w:b/>
                <w:sz w:val="22"/>
                <w:szCs w:val="22"/>
                <w:lang w:val="en-GB"/>
              </w:rPr>
              <w:t>[Add local information here]</w:t>
            </w:r>
          </w:p>
        </w:tc>
      </w:tr>
    </w:tbl>
    <w:p w14:paraId="78483DC4" w14:textId="77777777" w:rsidR="00AD0A83" w:rsidRPr="00B7395D" w:rsidRDefault="00AD0A83" w:rsidP="007759C1">
      <w:pPr>
        <w:spacing w:before="120" w:after="120"/>
        <w:rPr>
          <w:rFonts w:ascii="Verdana" w:eastAsia="Times New Roman" w:hAnsi="Verdana" w:cs="Arial"/>
          <w:b/>
          <w:color w:val="000000" w:themeColor="text1"/>
          <w:sz w:val="22"/>
          <w:szCs w:val="22"/>
          <w:lang w:val="en-GB" w:eastAsia="en-GB"/>
        </w:rPr>
      </w:pPr>
    </w:p>
    <w:p w14:paraId="067680FE" w14:textId="77777777" w:rsidR="00AD0A83" w:rsidRPr="00B7395D" w:rsidRDefault="00AD0A83" w:rsidP="007759C1">
      <w:pPr>
        <w:spacing w:before="120" w:after="120"/>
        <w:rPr>
          <w:rFonts w:ascii="Verdana" w:eastAsia="Times New Roman" w:hAnsi="Verdana" w:cs="Arial"/>
          <w:b/>
          <w:color w:val="000000" w:themeColor="text1"/>
          <w:sz w:val="22"/>
          <w:szCs w:val="22"/>
          <w:lang w:val="en-GB" w:eastAsia="en-GB"/>
        </w:rPr>
      </w:pPr>
    </w:p>
    <w:p w14:paraId="0B3F3C43" w14:textId="77777777" w:rsidR="00E1449C" w:rsidRDefault="00E1449C" w:rsidP="00E1449C">
      <w:pPr>
        <w:spacing w:after="0"/>
        <w:rPr>
          <w:rFonts w:ascii="Verdana" w:eastAsia="Times New Roman" w:hAnsi="Verdana" w:cs="Arial"/>
          <w:b/>
          <w:color w:val="000000" w:themeColor="text1"/>
          <w:sz w:val="22"/>
          <w:szCs w:val="22"/>
          <w:lang w:val="en-GB" w:eastAsia="en-GB"/>
        </w:rPr>
      </w:pPr>
    </w:p>
    <w:p w14:paraId="13F77B5C" w14:textId="77777777" w:rsidR="00E1449C" w:rsidRPr="006B0FC3" w:rsidRDefault="00E1449C" w:rsidP="00E1449C">
      <w:pPr>
        <w:spacing w:before="120" w:after="120"/>
        <w:rPr>
          <w:rFonts w:ascii="Verdana" w:eastAsia="Times New Roman" w:hAnsi="Verdana" w:cs="Arial"/>
          <w:b/>
          <w:color w:val="000000" w:themeColor="text1"/>
          <w:sz w:val="36"/>
          <w:szCs w:val="36"/>
          <w:lang w:val="en-GB" w:eastAsia="en-GB"/>
        </w:rPr>
      </w:pPr>
      <w:r w:rsidRPr="006B0FC3">
        <w:rPr>
          <w:rFonts w:ascii="Verdana" w:eastAsia="Times New Roman" w:hAnsi="Verdana" w:cs="Arial"/>
          <w:b/>
          <w:color w:val="000000" w:themeColor="text1"/>
          <w:sz w:val="36"/>
          <w:szCs w:val="36"/>
          <w:lang w:val="en-GB" w:eastAsia="en-GB"/>
        </w:rPr>
        <w:t>Acknowledgements</w:t>
      </w:r>
    </w:p>
    <w:p w14:paraId="1844218F" w14:textId="6AD88CC2" w:rsidR="00B73CB9" w:rsidRDefault="00E1449C" w:rsidP="00E1449C">
      <w:pPr>
        <w:spacing w:after="120"/>
        <w:rPr>
          <w:rFonts w:ascii="Verdana" w:hAnsi="Verdana" w:cs="Arial"/>
          <w:sz w:val="22"/>
          <w:szCs w:val="22"/>
          <w:lang w:val="en-GB"/>
        </w:rPr>
      </w:pPr>
      <w:r w:rsidRPr="00B7395D">
        <w:rPr>
          <w:rFonts w:ascii="Verdana" w:hAnsi="Verdana" w:cs="Arial"/>
          <w:sz w:val="22"/>
          <w:szCs w:val="22"/>
          <w:lang w:val="en-GB"/>
        </w:rPr>
        <w:t xml:space="preserve">This document was developed from </w:t>
      </w:r>
      <w:r w:rsidR="00B73CB9">
        <w:rPr>
          <w:rFonts w:ascii="Verdana" w:hAnsi="Verdana" w:cs="Arial"/>
          <w:sz w:val="22"/>
          <w:szCs w:val="22"/>
          <w:lang w:val="en-GB"/>
        </w:rPr>
        <w:t xml:space="preserve">a number of </w:t>
      </w:r>
      <w:r w:rsidRPr="00B7395D">
        <w:rPr>
          <w:rFonts w:ascii="Verdana" w:hAnsi="Verdana" w:cs="Arial"/>
          <w:sz w:val="22"/>
          <w:szCs w:val="22"/>
          <w:lang w:val="en-GB"/>
        </w:rPr>
        <w:t>service specifications published by NHS organisations</w:t>
      </w:r>
      <w:r w:rsidR="00B73CB9">
        <w:rPr>
          <w:rFonts w:ascii="Verdana" w:hAnsi="Verdana" w:cs="Arial"/>
          <w:sz w:val="22"/>
          <w:szCs w:val="22"/>
          <w:lang w:val="en-GB"/>
        </w:rPr>
        <w:t xml:space="preserve"> with existing fracture liaison services. </w:t>
      </w:r>
    </w:p>
    <w:p w14:paraId="325E1A60" w14:textId="47A3E974" w:rsidR="00E1449C" w:rsidRPr="00B7395D" w:rsidRDefault="00B73CB9" w:rsidP="008E637D">
      <w:pPr>
        <w:spacing w:after="120"/>
        <w:rPr>
          <w:rFonts w:ascii="Verdana" w:hAnsi="Verdana" w:cs="Arial"/>
          <w:sz w:val="22"/>
          <w:szCs w:val="22"/>
        </w:rPr>
      </w:pPr>
      <w:r>
        <w:rPr>
          <w:rFonts w:ascii="Verdana" w:hAnsi="Verdana" w:cs="Arial"/>
          <w:sz w:val="22"/>
          <w:szCs w:val="22"/>
          <w:lang w:val="en-GB"/>
        </w:rPr>
        <w:t xml:space="preserve">The National Osteoporosis Society is grateful to members of the FLS Implementation Group for their kind assistance. </w:t>
      </w:r>
    </w:p>
    <w:p w14:paraId="5F26A353" w14:textId="77777777" w:rsidR="00E1449C" w:rsidRDefault="00E1449C" w:rsidP="00E1449C">
      <w:pPr>
        <w:spacing w:after="0"/>
        <w:rPr>
          <w:rFonts w:ascii="Verdana" w:eastAsia="Times New Roman" w:hAnsi="Verdana" w:cs="Arial"/>
          <w:sz w:val="22"/>
          <w:szCs w:val="22"/>
          <w:lang w:val="en-GB" w:eastAsia="en-GB"/>
        </w:rPr>
      </w:pPr>
    </w:p>
    <w:p w14:paraId="685487CF" w14:textId="77777777" w:rsidR="007A0C9E" w:rsidRPr="00E1449C" w:rsidRDefault="006B0FC3" w:rsidP="00E1449C">
      <w:pPr>
        <w:spacing w:after="0"/>
        <w:rPr>
          <w:rFonts w:ascii="Verdana" w:eastAsia="Times New Roman" w:hAnsi="Verdana" w:cs="Arial"/>
          <w:b/>
          <w:color w:val="000000" w:themeColor="text1"/>
          <w:sz w:val="22"/>
          <w:szCs w:val="22"/>
          <w:lang w:val="en-GB" w:eastAsia="en-GB"/>
        </w:rPr>
      </w:pPr>
      <w:r w:rsidRPr="00E1449C">
        <w:rPr>
          <w:rFonts w:ascii="Verdana" w:eastAsia="Times New Roman" w:hAnsi="Verdana" w:cs="Arial"/>
          <w:sz w:val="22"/>
          <w:szCs w:val="22"/>
          <w:lang w:val="en-GB" w:eastAsia="en-GB"/>
        </w:rPr>
        <w:br w:type="page"/>
      </w:r>
      <w:r w:rsidR="007A0C9E" w:rsidRPr="00B7395D">
        <w:rPr>
          <w:rFonts w:ascii="Verdana" w:hAnsi="Verdana" w:cs="Arial"/>
          <w:b/>
          <w:sz w:val="36"/>
          <w:szCs w:val="22"/>
        </w:rPr>
        <w:t xml:space="preserve">References </w:t>
      </w:r>
    </w:p>
    <w:sectPr w:rsidR="007A0C9E" w:rsidRPr="00E1449C" w:rsidSect="00BC07B2">
      <w:footerReference w:type="default" r:id="rId2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A272" w14:textId="77777777" w:rsidR="00653A11" w:rsidRDefault="00653A11" w:rsidP="00443B52">
      <w:pPr>
        <w:spacing w:after="0"/>
      </w:pPr>
      <w:r>
        <w:separator/>
      </w:r>
    </w:p>
  </w:endnote>
  <w:endnote w:type="continuationSeparator" w:id="0">
    <w:p w14:paraId="28FB3D27" w14:textId="77777777" w:rsidR="00653A11" w:rsidRDefault="00653A11" w:rsidP="00443B52">
      <w:pPr>
        <w:spacing w:after="0"/>
      </w:pPr>
      <w:r>
        <w:continuationSeparator/>
      </w:r>
    </w:p>
  </w:endnote>
  <w:endnote w:id="1">
    <w:p w14:paraId="44A814DA" w14:textId="77777777" w:rsidR="003B2C77" w:rsidRPr="00F7283C" w:rsidRDefault="003B2C77" w:rsidP="003B2C77">
      <w:pPr>
        <w:pStyle w:val="EndnoteText"/>
        <w:rPr>
          <w:rFonts w:cs="Arial"/>
          <w:sz w:val="22"/>
          <w:szCs w:val="22"/>
        </w:rPr>
      </w:pPr>
      <w:r w:rsidRPr="00873557">
        <w:rPr>
          <w:rStyle w:val="EndnoteReference"/>
          <w:sz w:val="24"/>
        </w:rPr>
        <w:endnoteRef/>
      </w:r>
      <w:r w:rsidRPr="00873557">
        <w:rPr>
          <w:sz w:val="18"/>
        </w:rPr>
        <w:t xml:space="preserve"> </w:t>
      </w:r>
      <w:r w:rsidRPr="00F7283C">
        <w:rPr>
          <w:rFonts w:cs="Arial"/>
          <w:sz w:val="22"/>
          <w:szCs w:val="22"/>
        </w:rPr>
        <w:t>Calculated using mid 2013 population data</w:t>
      </w:r>
      <w:r w:rsidRPr="00F7283C">
        <w:rPr>
          <w:rFonts w:cs="Arial"/>
          <w:sz w:val="22"/>
          <w:szCs w:val="22"/>
          <w:vertAlign w:val="superscript"/>
        </w:rPr>
        <w:t>i</w:t>
      </w:r>
      <w:r w:rsidRPr="00F7283C">
        <w:rPr>
          <w:rFonts w:cs="Arial"/>
          <w:sz w:val="22"/>
          <w:szCs w:val="22"/>
        </w:rPr>
        <w:t xml:space="preserve"> and osteoporosis incidence from</w:t>
      </w:r>
      <w:r w:rsidRPr="00F7283C">
        <w:rPr>
          <w:rFonts w:cs="Arial"/>
          <w:sz w:val="22"/>
          <w:szCs w:val="22"/>
          <w:vertAlign w:val="superscript"/>
        </w:rPr>
        <w:t>ii</w:t>
      </w:r>
      <w:r w:rsidRPr="00F7283C">
        <w:rPr>
          <w:rFonts w:cs="Arial"/>
          <w:sz w:val="22"/>
          <w:szCs w:val="22"/>
        </w:rPr>
        <w:t>.</w:t>
      </w:r>
    </w:p>
    <w:p w14:paraId="7F34B9E5" w14:textId="77777777" w:rsidR="003B2C77" w:rsidRPr="00F7283C" w:rsidRDefault="003B2C77" w:rsidP="003B2C77">
      <w:pPr>
        <w:pStyle w:val="EndnoteText"/>
        <w:rPr>
          <w:rFonts w:cs="Arial"/>
          <w:sz w:val="22"/>
          <w:szCs w:val="22"/>
          <w:vertAlign w:val="superscript"/>
        </w:rPr>
      </w:pPr>
      <w:r w:rsidRPr="00F7283C">
        <w:rPr>
          <w:rFonts w:cs="Arial"/>
          <w:sz w:val="22"/>
          <w:szCs w:val="22"/>
          <w:vertAlign w:val="superscript"/>
        </w:rPr>
        <w:t>i</w:t>
      </w:r>
      <w:r w:rsidRPr="00F7283C">
        <w:rPr>
          <w:rFonts w:cs="Arial"/>
          <w:sz w:val="22"/>
          <w:szCs w:val="22"/>
        </w:rPr>
        <w:t xml:space="preserve"> </w:t>
      </w:r>
      <w:r w:rsidRPr="00F7283C">
        <w:rPr>
          <w:sz w:val="22"/>
          <w:szCs w:val="22"/>
        </w:rPr>
        <w:t xml:space="preserve">Office of National Statistics, 2014. </w:t>
      </w:r>
      <w:r w:rsidRPr="00F7283C">
        <w:rPr>
          <w:i/>
          <w:iCs/>
          <w:sz w:val="22"/>
          <w:szCs w:val="22"/>
        </w:rPr>
        <w:t>Annual Mid-year Population Estimates, 2013</w:t>
      </w:r>
      <w:r w:rsidRPr="00F7283C">
        <w:rPr>
          <w:sz w:val="22"/>
          <w:szCs w:val="22"/>
        </w:rPr>
        <w:t>. Available at: &lt;</w:t>
      </w:r>
      <w:hyperlink r:id="rId1" w:history="1">
        <w:r w:rsidRPr="009C2A16">
          <w:rPr>
            <w:rStyle w:val="Hyperlink"/>
            <w:sz w:val="22"/>
            <w:szCs w:val="22"/>
          </w:rPr>
          <w:t>http://www.ons.gov.uk/ons/rel/pop-estimate/population-estimates-for-uk--england-and-wales--scotland-and-northern-ireland/2013/stb---mid-2013-uk-population-estimates.html</w:t>
        </w:r>
      </w:hyperlink>
      <w:r w:rsidRPr="00F7283C">
        <w:rPr>
          <w:sz w:val="22"/>
          <w:szCs w:val="22"/>
        </w:rPr>
        <w:t xml:space="preserve">&gt;. </w:t>
      </w:r>
    </w:p>
    <w:p w14:paraId="4CEF2BDE" w14:textId="68B2E56E" w:rsidR="003B2C77" w:rsidRPr="003B2C77" w:rsidRDefault="003B2C77" w:rsidP="00873557">
      <w:pPr>
        <w:pStyle w:val="EndnoteText"/>
        <w:spacing w:after="120"/>
        <w:rPr>
          <w:lang w:val="en-GB"/>
        </w:rPr>
      </w:pPr>
      <w:r w:rsidRPr="00F7283C">
        <w:rPr>
          <w:rFonts w:cs="Arial"/>
          <w:sz w:val="22"/>
          <w:szCs w:val="22"/>
          <w:vertAlign w:val="superscript"/>
        </w:rPr>
        <w:t>ii</w:t>
      </w:r>
      <w:r w:rsidRPr="00F7283C">
        <w:rPr>
          <w:rFonts w:cs="Arial"/>
          <w:sz w:val="22"/>
          <w:szCs w:val="22"/>
        </w:rPr>
        <w:t xml:space="preserve"> Kanis J, Johnell O, Oden A, Jonsson B, Laet C and Dawson A, 2000. Risk of hip fracture according to the World Health Organisation criteria for osteopenia and osteoporosis. </w:t>
      </w:r>
      <w:r w:rsidRPr="00F7283C">
        <w:rPr>
          <w:rFonts w:cs="Arial"/>
          <w:i/>
          <w:sz w:val="22"/>
          <w:szCs w:val="22"/>
        </w:rPr>
        <w:t>Bone</w:t>
      </w:r>
      <w:r w:rsidRPr="00F7283C">
        <w:rPr>
          <w:rFonts w:cs="Arial"/>
          <w:sz w:val="22"/>
          <w:szCs w:val="22"/>
        </w:rPr>
        <w:t xml:space="preserve"> 27, pp.585-590.</w:t>
      </w:r>
    </w:p>
  </w:endnote>
  <w:endnote w:id="2">
    <w:p w14:paraId="18BCF688" w14:textId="77777777" w:rsidR="003B2C77" w:rsidRPr="003B2C77" w:rsidRDefault="003B2C77" w:rsidP="003B2C77">
      <w:pPr>
        <w:spacing w:after="0"/>
        <w:rPr>
          <w:sz w:val="22"/>
          <w:szCs w:val="22"/>
        </w:rPr>
      </w:pPr>
      <w:r>
        <w:rPr>
          <w:rStyle w:val="EndnoteReference"/>
        </w:rPr>
        <w:endnoteRef/>
      </w:r>
      <w:r>
        <w:t xml:space="preserve"> </w:t>
      </w:r>
      <w:r w:rsidRPr="003B2C77">
        <w:rPr>
          <w:sz w:val="22"/>
          <w:szCs w:val="22"/>
        </w:rPr>
        <w:t>Sum of [i], [ii], [iii], [iv].</w:t>
      </w:r>
    </w:p>
    <w:p w14:paraId="244A883D" w14:textId="77777777" w:rsidR="003B2C77" w:rsidRPr="00F7283C" w:rsidRDefault="003B2C77" w:rsidP="003B2C77">
      <w:pPr>
        <w:pStyle w:val="ListParagraph"/>
        <w:ind w:left="0"/>
        <w:rPr>
          <w:rFonts w:asciiTheme="minorHAnsi" w:hAnsiTheme="minorHAnsi"/>
          <w:sz w:val="22"/>
          <w:szCs w:val="22"/>
        </w:rPr>
      </w:pPr>
      <w:r w:rsidRPr="00F7283C">
        <w:rPr>
          <w:rFonts w:asciiTheme="minorHAnsi" w:hAnsiTheme="minorHAnsi"/>
          <w:sz w:val="22"/>
          <w:szCs w:val="22"/>
        </w:rPr>
        <w:t xml:space="preserve">[i] Health and Social Care Information Centre, 2013. </w:t>
      </w:r>
      <w:r w:rsidRPr="00F7283C">
        <w:rPr>
          <w:rFonts w:asciiTheme="minorHAnsi" w:hAnsiTheme="minorHAnsi"/>
          <w:i/>
          <w:iCs/>
          <w:sz w:val="22"/>
          <w:szCs w:val="22"/>
        </w:rPr>
        <w:t>Hospital Episode Statistics, Admitted Patient Care, England 2012-13. Primary Diagnosis (4 character detail, FCE Bed Days)</w:t>
      </w:r>
      <w:r w:rsidRPr="00F7283C">
        <w:rPr>
          <w:rFonts w:asciiTheme="minorHAnsi" w:hAnsiTheme="minorHAnsi"/>
          <w:sz w:val="22"/>
          <w:szCs w:val="22"/>
        </w:rPr>
        <w:t>.  Available at: &lt;</w:t>
      </w:r>
      <w:hyperlink r:id="rId2" w:history="1">
        <w:r w:rsidRPr="00F7283C">
          <w:rPr>
            <w:rStyle w:val="Hyperlink"/>
            <w:rFonts w:asciiTheme="minorHAnsi" w:hAnsiTheme="minorHAnsi"/>
            <w:sz w:val="22"/>
            <w:szCs w:val="22"/>
          </w:rPr>
          <w:t>http://www.hscic.gov.uk/catalogue/PUB12566</w:t>
        </w:r>
      </w:hyperlink>
      <w:r w:rsidRPr="00F7283C">
        <w:rPr>
          <w:rFonts w:asciiTheme="minorHAnsi" w:hAnsiTheme="minorHAnsi"/>
          <w:sz w:val="22"/>
          <w:szCs w:val="22"/>
        </w:rPr>
        <w:t>&gt;.</w:t>
      </w:r>
    </w:p>
    <w:p w14:paraId="5A5954EA" w14:textId="77777777" w:rsidR="003B2C77" w:rsidRPr="00F7283C" w:rsidRDefault="003B2C77" w:rsidP="003B2C77">
      <w:pPr>
        <w:pStyle w:val="ListParagraph"/>
        <w:ind w:left="0"/>
        <w:rPr>
          <w:rFonts w:asciiTheme="minorHAnsi" w:hAnsiTheme="minorHAnsi"/>
          <w:sz w:val="22"/>
          <w:szCs w:val="22"/>
        </w:rPr>
      </w:pPr>
      <w:r w:rsidRPr="00F7283C">
        <w:rPr>
          <w:rFonts w:asciiTheme="minorHAnsi" w:hAnsiTheme="minorHAnsi"/>
          <w:sz w:val="22"/>
          <w:szCs w:val="22"/>
        </w:rPr>
        <w:t xml:space="preserve">[ii] ISD Scotland, 2014. </w:t>
      </w:r>
      <w:r w:rsidRPr="00F7283C">
        <w:rPr>
          <w:rFonts w:asciiTheme="minorHAnsi" w:hAnsiTheme="minorHAnsi"/>
          <w:i/>
          <w:sz w:val="22"/>
          <w:szCs w:val="22"/>
        </w:rPr>
        <w:t>(SMR01) Hip fracture statistics 2012-2013 (primary diagnosis, 4 character detail, provider, episodes)</w:t>
      </w:r>
      <w:r w:rsidRPr="00F7283C">
        <w:rPr>
          <w:rFonts w:asciiTheme="minorHAnsi" w:hAnsiTheme="minorHAnsi"/>
          <w:sz w:val="22"/>
          <w:szCs w:val="22"/>
        </w:rPr>
        <w:t>. [Freedom of Information request, Extracted 20</w:t>
      </w:r>
      <w:r w:rsidRPr="00F7283C">
        <w:rPr>
          <w:rFonts w:asciiTheme="minorHAnsi" w:hAnsiTheme="minorHAnsi"/>
          <w:sz w:val="22"/>
          <w:szCs w:val="22"/>
          <w:vertAlign w:val="superscript"/>
        </w:rPr>
        <w:t>th</w:t>
      </w:r>
      <w:r w:rsidRPr="00F7283C">
        <w:rPr>
          <w:rFonts w:asciiTheme="minorHAnsi" w:hAnsiTheme="minorHAnsi"/>
          <w:sz w:val="22"/>
          <w:szCs w:val="22"/>
        </w:rPr>
        <w:t xml:space="preserve"> August 2014].</w:t>
      </w:r>
    </w:p>
    <w:p w14:paraId="301B7D29" w14:textId="77777777" w:rsidR="003B2C77" w:rsidRPr="00F7283C" w:rsidRDefault="003B2C77" w:rsidP="003B2C77">
      <w:pPr>
        <w:pStyle w:val="ListParagraph"/>
        <w:ind w:left="0"/>
        <w:rPr>
          <w:rFonts w:asciiTheme="minorHAnsi" w:hAnsiTheme="minorHAnsi"/>
          <w:sz w:val="22"/>
          <w:szCs w:val="22"/>
        </w:rPr>
      </w:pPr>
      <w:r w:rsidRPr="00F7283C">
        <w:rPr>
          <w:rFonts w:asciiTheme="minorHAnsi" w:hAnsiTheme="minorHAnsi"/>
          <w:sz w:val="22"/>
          <w:szCs w:val="22"/>
        </w:rPr>
        <w:t xml:space="preserve">[iii] NHS Wales, 2013. </w:t>
      </w:r>
      <w:r w:rsidRPr="00F7283C">
        <w:rPr>
          <w:rFonts w:asciiTheme="minorHAnsi" w:hAnsiTheme="minorHAnsi"/>
          <w:i/>
          <w:iCs/>
          <w:sz w:val="22"/>
          <w:szCs w:val="22"/>
        </w:rPr>
        <w:t>Patient Episode Database for Wales: Primary Diagnosis (4 character detail), Welsh Providers, FCEs 2012/2013</w:t>
      </w:r>
      <w:r w:rsidRPr="00F7283C">
        <w:rPr>
          <w:rFonts w:asciiTheme="minorHAnsi" w:hAnsiTheme="minorHAnsi"/>
          <w:sz w:val="22"/>
          <w:szCs w:val="22"/>
        </w:rPr>
        <w:t>.  Available at: &lt;</w:t>
      </w:r>
      <w:hyperlink r:id="rId3" w:history="1">
        <w:r w:rsidRPr="00F7283C">
          <w:rPr>
            <w:rStyle w:val="Hyperlink"/>
            <w:rFonts w:asciiTheme="minorHAnsi" w:hAnsiTheme="minorHAnsi"/>
            <w:color w:val="auto"/>
            <w:sz w:val="22"/>
            <w:szCs w:val="22"/>
          </w:rPr>
          <w:t>http://www.infoandstats.wales.nhs.uk/page.cfm?pid=41010&amp;orgid=869</w:t>
        </w:r>
      </w:hyperlink>
      <w:r w:rsidRPr="00F7283C">
        <w:rPr>
          <w:rFonts w:asciiTheme="minorHAnsi" w:hAnsiTheme="minorHAnsi"/>
          <w:sz w:val="22"/>
          <w:szCs w:val="22"/>
        </w:rPr>
        <w:t>.</w:t>
      </w:r>
    </w:p>
    <w:p w14:paraId="275DE619" w14:textId="32188A53" w:rsidR="003B2C77" w:rsidRPr="003B2C77" w:rsidRDefault="003B2C77" w:rsidP="00873557">
      <w:pPr>
        <w:pStyle w:val="EndnoteText"/>
        <w:spacing w:after="120"/>
        <w:rPr>
          <w:lang w:val="en-GB"/>
        </w:rPr>
      </w:pPr>
      <w:r w:rsidRPr="00F7283C">
        <w:rPr>
          <w:sz w:val="22"/>
          <w:szCs w:val="22"/>
        </w:rPr>
        <w:t xml:space="preserve">[iv] Department of Health, Social Services and Public Safety, Northern Ireland, 2014. </w:t>
      </w:r>
      <w:r w:rsidRPr="00F7283C">
        <w:rPr>
          <w:i/>
          <w:sz w:val="22"/>
          <w:szCs w:val="22"/>
        </w:rPr>
        <w:t>Hospital Inpatient System 2012/13 (primary diagnosis, 4 character detail, admissions)</w:t>
      </w:r>
      <w:r w:rsidRPr="00F7283C">
        <w:rPr>
          <w:sz w:val="22"/>
          <w:szCs w:val="22"/>
        </w:rPr>
        <w:t>. [Freedom of Information request, Received 6</w:t>
      </w:r>
      <w:r w:rsidRPr="00F7283C">
        <w:rPr>
          <w:sz w:val="22"/>
          <w:szCs w:val="22"/>
          <w:vertAlign w:val="superscript"/>
        </w:rPr>
        <w:t>th</w:t>
      </w:r>
      <w:r w:rsidRPr="00F7283C">
        <w:rPr>
          <w:sz w:val="22"/>
          <w:szCs w:val="22"/>
        </w:rPr>
        <w:t xml:space="preserve"> August 2014].</w:t>
      </w:r>
    </w:p>
  </w:endnote>
  <w:endnote w:id="3">
    <w:p w14:paraId="6FA91766" w14:textId="77777777" w:rsidR="003B2C77" w:rsidRPr="00F7283C" w:rsidRDefault="003B2C77" w:rsidP="003B2C77">
      <w:pPr>
        <w:pStyle w:val="ListParagraph"/>
        <w:shd w:val="clear" w:color="auto" w:fill="FFFFFF" w:themeFill="background1"/>
        <w:ind w:left="0"/>
        <w:rPr>
          <w:rFonts w:asciiTheme="minorHAnsi" w:hAnsiTheme="minorHAnsi"/>
          <w:sz w:val="22"/>
          <w:szCs w:val="22"/>
        </w:rPr>
      </w:pPr>
      <w:r>
        <w:rPr>
          <w:rStyle w:val="EndnoteReference"/>
        </w:rPr>
        <w:endnoteRef/>
      </w:r>
      <w:r>
        <w:t xml:space="preserve"> </w:t>
      </w:r>
      <w:r w:rsidRPr="00F7283C">
        <w:rPr>
          <w:rFonts w:asciiTheme="minorHAnsi" w:hAnsiTheme="minorHAnsi"/>
          <w:sz w:val="22"/>
          <w:szCs w:val="22"/>
        </w:rPr>
        <w:t>Calculated using hip fracture costings from [i] updated using the Health Service Cost Index [ii] and Finished Consultant Episodes for hip fracture [iii], [iv], [v], [vi].</w:t>
      </w:r>
    </w:p>
    <w:p w14:paraId="44F3A29C" w14:textId="77777777" w:rsidR="003B2C77" w:rsidRPr="00F7283C" w:rsidRDefault="003B2C77" w:rsidP="003B2C77">
      <w:pPr>
        <w:pStyle w:val="ListParagraph"/>
        <w:shd w:val="clear" w:color="auto" w:fill="FFFFFF" w:themeFill="background1"/>
        <w:ind w:left="0"/>
        <w:rPr>
          <w:rFonts w:asciiTheme="minorHAnsi" w:hAnsiTheme="minorHAnsi"/>
          <w:sz w:val="22"/>
          <w:szCs w:val="22"/>
        </w:rPr>
      </w:pPr>
      <w:r w:rsidRPr="00F7283C">
        <w:rPr>
          <w:rFonts w:asciiTheme="minorHAnsi" w:hAnsiTheme="minorHAnsi"/>
          <w:sz w:val="22"/>
          <w:szCs w:val="22"/>
        </w:rPr>
        <w:t xml:space="preserve">[i] Lawrence T, White C, Wenn R and Moran C, 2005. The current hospital costs of treating hip fractures. </w:t>
      </w:r>
      <w:r w:rsidRPr="00F7283C">
        <w:rPr>
          <w:rFonts w:asciiTheme="minorHAnsi" w:hAnsiTheme="minorHAnsi"/>
          <w:i/>
          <w:sz w:val="22"/>
          <w:szCs w:val="22"/>
        </w:rPr>
        <w:t xml:space="preserve">Injury </w:t>
      </w:r>
      <w:r w:rsidRPr="00F7283C">
        <w:rPr>
          <w:rFonts w:asciiTheme="minorHAnsi" w:hAnsiTheme="minorHAnsi"/>
          <w:sz w:val="22"/>
          <w:szCs w:val="22"/>
        </w:rPr>
        <w:t>36, pp.88-91.</w:t>
      </w:r>
    </w:p>
    <w:p w14:paraId="51B20C91" w14:textId="77777777" w:rsidR="003B2C77" w:rsidRPr="00F7283C" w:rsidRDefault="003B2C77" w:rsidP="003B2C77">
      <w:pPr>
        <w:pStyle w:val="ListParagraph"/>
        <w:shd w:val="clear" w:color="auto" w:fill="FFFFFF" w:themeFill="background1"/>
        <w:ind w:left="0"/>
        <w:rPr>
          <w:rFonts w:asciiTheme="minorHAnsi" w:hAnsiTheme="minorHAnsi"/>
          <w:sz w:val="22"/>
          <w:szCs w:val="22"/>
        </w:rPr>
      </w:pPr>
      <w:r w:rsidRPr="00F7283C">
        <w:rPr>
          <w:rFonts w:asciiTheme="minorHAnsi" w:hAnsiTheme="minorHAnsi"/>
          <w:sz w:val="22"/>
          <w:szCs w:val="22"/>
        </w:rPr>
        <w:t xml:space="preserve">[ii] Department of Health, 2013. </w:t>
      </w:r>
      <w:r w:rsidRPr="00F7283C">
        <w:rPr>
          <w:rFonts w:asciiTheme="minorHAnsi" w:hAnsiTheme="minorHAnsi"/>
          <w:i/>
          <w:iCs/>
          <w:sz w:val="22"/>
          <w:szCs w:val="22"/>
        </w:rPr>
        <w:t>Health Service Cost Index</w:t>
      </w:r>
      <w:r w:rsidRPr="00F7283C">
        <w:rPr>
          <w:rFonts w:asciiTheme="minorHAnsi" w:hAnsiTheme="minorHAnsi"/>
          <w:sz w:val="22"/>
          <w:szCs w:val="22"/>
        </w:rPr>
        <w:t>.  Available at: &lt;</w:t>
      </w:r>
      <w:hyperlink r:id="rId4" w:history="1">
        <w:r w:rsidRPr="00F7283C">
          <w:rPr>
            <w:rStyle w:val="Hyperlink"/>
            <w:rFonts w:asciiTheme="minorHAnsi" w:hAnsiTheme="minorHAnsi"/>
            <w:sz w:val="22"/>
            <w:szCs w:val="22"/>
          </w:rPr>
          <w:t>http://www.info.doh.gov.uk/doh/finman.nsf/Newsletters</w:t>
        </w:r>
      </w:hyperlink>
      <w:r w:rsidRPr="00F7283C">
        <w:rPr>
          <w:rFonts w:asciiTheme="minorHAnsi" w:hAnsiTheme="minorHAnsi"/>
          <w:sz w:val="22"/>
          <w:szCs w:val="22"/>
        </w:rPr>
        <w:t xml:space="preserve">&gt; [March 2013, March 2005 and March 2001]. </w:t>
      </w:r>
    </w:p>
    <w:p w14:paraId="369904F9" w14:textId="77777777" w:rsidR="003B2C77" w:rsidRPr="00F7283C" w:rsidRDefault="003B2C77" w:rsidP="003B2C77">
      <w:pPr>
        <w:pStyle w:val="ListParagraph"/>
        <w:shd w:val="clear" w:color="auto" w:fill="FFFFFF" w:themeFill="background1"/>
        <w:ind w:left="0"/>
        <w:rPr>
          <w:rFonts w:asciiTheme="minorHAnsi" w:hAnsiTheme="minorHAnsi"/>
          <w:sz w:val="22"/>
          <w:szCs w:val="22"/>
        </w:rPr>
      </w:pPr>
      <w:r w:rsidRPr="00F7283C">
        <w:rPr>
          <w:rFonts w:asciiTheme="minorHAnsi" w:hAnsiTheme="minorHAnsi"/>
          <w:sz w:val="22"/>
          <w:szCs w:val="22"/>
        </w:rPr>
        <w:t xml:space="preserve">[iii] Health and Social Care Information Centre, 2013. </w:t>
      </w:r>
      <w:r w:rsidRPr="00F7283C">
        <w:rPr>
          <w:rFonts w:asciiTheme="minorHAnsi" w:hAnsiTheme="minorHAnsi"/>
          <w:i/>
          <w:iCs/>
          <w:sz w:val="22"/>
          <w:szCs w:val="22"/>
        </w:rPr>
        <w:t>Hospital Episode Statistics, Admitted Patient Care, England 2012-13. Primary Diagnosis (4 character detail, FCEs)</w:t>
      </w:r>
      <w:r w:rsidRPr="00F7283C">
        <w:rPr>
          <w:rFonts w:asciiTheme="minorHAnsi" w:hAnsiTheme="minorHAnsi"/>
          <w:sz w:val="22"/>
          <w:szCs w:val="22"/>
        </w:rPr>
        <w:t>.  Available at: &lt;</w:t>
      </w:r>
      <w:hyperlink r:id="rId5" w:history="1">
        <w:r w:rsidRPr="00F7283C">
          <w:rPr>
            <w:rStyle w:val="Hyperlink"/>
            <w:rFonts w:asciiTheme="minorHAnsi" w:hAnsiTheme="minorHAnsi"/>
            <w:sz w:val="22"/>
            <w:szCs w:val="22"/>
          </w:rPr>
          <w:t>http://www.hscic.gov.uk/catalogue/PUB12566</w:t>
        </w:r>
      </w:hyperlink>
      <w:r w:rsidRPr="00F7283C">
        <w:rPr>
          <w:rFonts w:asciiTheme="minorHAnsi" w:hAnsiTheme="minorHAnsi"/>
          <w:sz w:val="22"/>
          <w:szCs w:val="22"/>
        </w:rPr>
        <w:t>&gt;.</w:t>
      </w:r>
    </w:p>
    <w:p w14:paraId="27608652" w14:textId="77777777" w:rsidR="003B2C77" w:rsidRPr="00F7283C" w:rsidRDefault="003B2C77" w:rsidP="003B2C77">
      <w:pPr>
        <w:pStyle w:val="ListParagraph"/>
        <w:shd w:val="clear" w:color="auto" w:fill="FFFFFF" w:themeFill="background1"/>
        <w:ind w:left="0"/>
        <w:rPr>
          <w:rFonts w:asciiTheme="minorHAnsi" w:hAnsiTheme="minorHAnsi"/>
          <w:sz w:val="22"/>
          <w:szCs w:val="22"/>
        </w:rPr>
      </w:pPr>
      <w:r w:rsidRPr="00F7283C">
        <w:rPr>
          <w:rFonts w:asciiTheme="minorHAnsi" w:hAnsiTheme="minorHAnsi"/>
          <w:sz w:val="22"/>
          <w:szCs w:val="22"/>
        </w:rPr>
        <w:t xml:space="preserve">[iv] ISD Scotland, 2014. </w:t>
      </w:r>
      <w:r w:rsidRPr="00F7283C">
        <w:rPr>
          <w:rFonts w:asciiTheme="minorHAnsi" w:hAnsiTheme="minorHAnsi"/>
          <w:i/>
          <w:sz w:val="22"/>
          <w:szCs w:val="22"/>
        </w:rPr>
        <w:t>(SMR01) Hip fracture statistics 2012-2013 (primary diagnosis, 4 character detail, provider, episodes)</w:t>
      </w:r>
      <w:r w:rsidRPr="00F7283C">
        <w:rPr>
          <w:rFonts w:asciiTheme="minorHAnsi" w:hAnsiTheme="minorHAnsi"/>
          <w:sz w:val="22"/>
          <w:szCs w:val="22"/>
        </w:rPr>
        <w:t>. [Freedom of Information request, Extracted 17</w:t>
      </w:r>
      <w:r w:rsidRPr="00F7283C">
        <w:rPr>
          <w:rFonts w:asciiTheme="minorHAnsi" w:hAnsiTheme="minorHAnsi"/>
          <w:sz w:val="22"/>
          <w:szCs w:val="22"/>
          <w:vertAlign w:val="superscript"/>
        </w:rPr>
        <w:t>th</w:t>
      </w:r>
      <w:r w:rsidRPr="00F7283C">
        <w:rPr>
          <w:rFonts w:asciiTheme="minorHAnsi" w:hAnsiTheme="minorHAnsi"/>
          <w:sz w:val="22"/>
          <w:szCs w:val="22"/>
        </w:rPr>
        <w:t xml:space="preserve"> July 2014].</w:t>
      </w:r>
    </w:p>
    <w:p w14:paraId="3D0DC4AA" w14:textId="77777777" w:rsidR="003B2C77" w:rsidRPr="00F7283C" w:rsidRDefault="003B2C77" w:rsidP="003B2C77">
      <w:pPr>
        <w:pStyle w:val="ListParagraph"/>
        <w:shd w:val="clear" w:color="auto" w:fill="FFFFFF" w:themeFill="background1"/>
        <w:ind w:left="0"/>
        <w:rPr>
          <w:rFonts w:asciiTheme="minorHAnsi" w:hAnsiTheme="minorHAnsi"/>
          <w:sz w:val="22"/>
          <w:szCs w:val="22"/>
        </w:rPr>
      </w:pPr>
      <w:r w:rsidRPr="00F7283C">
        <w:rPr>
          <w:rFonts w:asciiTheme="minorHAnsi" w:hAnsiTheme="minorHAnsi"/>
          <w:sz w:val="22"/>
          <w:szCs w:val="22"/>
        </w:rPr>
        <w:t xml:space="preserve">[v] NHS Wales, 2013. </w:t>
      </w:r>
      <w:r w:rsidRPr="00F7283C">
        <w:rPr>
          <w:rFonts w:asciiTheme="minorHAnsi" w:hAnsiTheme="minorHAnsi"/>
          <w:i/>
          <w:iCs/>
          <w:sz w:val="22"/>
          <w:szCs w:val="22"/>
        </w:rPr>
        <w:t xml:space="preserve">Patient Episode Database for Wales: Primary Diagnosis (4 character detail, FCEs), Welsh Providers </w:t>
      </w:r>
      <w:r w:rsidRPr="00F7283C">
        <w:rPr>
          <w:rFonts w:asciiTheme="minorHAnsi" w:hAnsiTheme="minorHAnsi"/>
          <w:sz w:val="22"/>
          <w:szCs w:val="22"/>
        </w:rPr>
        <w:t>[2012/2013 and 2011/2012 data tables].  Available at: &lt;</w:t>
      </w:r>
      <w:hyperlink r:id="rId6" w:history="1">
        <w:r w:rsidRPr="00F7283C">
          <w:rPr>
            <w:rStyle w:val="Hyperlink"/>
            <w:rFonts w:asciiTheme="minorHAnsi" w:hAnsiTheme="minorHAnsi"/>
            <w:sz w:val="22"/>
            <w:szCs w:val="22"/>
          </w:rPr>
          <w:t>http://www.infoandstats.wales.nhs.uk/page.cfm?pid=41010&amp;orgid=869</w:t>
        </w:r>
      </w:hyperlink>
      <w:r w:rsidRPr="00F7283C">
        <w:rPr>
          <w:rFonts w:asciiTheme="minorHAnsi" w:hAnsiTheme="minorHAnsi"/>
          <w:sz w:val="22"/>
          <w:szCs w:val="22"/>
        </w:rPr>
        <w:t>&gt;.</w:t>
      </w:r>
    </w:p>
    <w:p w14:paraId="62002914" w14:textId="727F5210" w:rsidR="003B2C77" w:rsidRPr="003B2C77" w:rsidRDefault="003B2C77" w:rsidP="00873557">
      <w:pPr>
        <w:pStyle w:val="EndnoteText"/>
        <w:spacing w:after="120"/>
        <w:rPr>
          <w:lang w:val="en-GB"/>
        </w:rPr>
      </w:pPr>
      <w:r w:rsidRPr="00F7283C">
        <w:rPr>
          <w:sz w:val="22"/>
          <w:szCs w:val="22"/>
        </w:rPr>
        <w:t xml:space="preserve">[vi] Department of Health, Social Services and Public Safety, Northern Ireland, 2014. </w:t>
      </w:r>
      <w:r w:rsidRPr="00F7283C">
        <w:rPr>
          <w:i/>
          <w:sz w:val="22"/>
          <w:szCs w:val="22"/>
        </w:rPr>
        <w:t>Hospital Inpatient System 2012/13 (primary diagnosis, 4 character detail, finished consultant episodes)</w:t>
      </w:r>
      <w:r w:rsidRPr="00F7283C">
        <w:rPr>
          <w:sz w:val="22"/>
          <w:szCs w:val="22"/>
        </w:rPr>
        <w:t>. [Freedom of Information request, Received 6</w:t>
      </w:r>
      <w:r w:rsidRPr="00F7283C">
        <w:rPr>
          <w:sz w:val="22"/>
          <w:szCs w:val="22"/>
          <w:vertAlign w:val="superscript"/>
        </w:rPr>
        <w:t>th</w:t>
      </w:r>
      <w:r w:rsidRPr="00F7283C">
        <w:rPr>
          <w:sz w:val="22"/>
          <w:szCs w:val="22"/>
        </w:rPr>
        <w:t xml:space="preserve"> August 2014].</w:t>
      </w:r>
    </w:p>
  </w:endnote>
  <w:endnote w:id="4">
    <w:p w14:paraId="5C550BF6" w14:textId="4BF1BF22" w:rsidR="00AD72EE" w:rsidRPr="008E637D" w:rsidRDefault="003B2C77" w:rsidP="00873557">
      <w:pPr>
        <w:pStyle w:val="EndnoteText"/>
        <w:spacing w:after="120"/>
        <w:rPr>
          <w:lang w:val="en-GB"/>
        </w:rPr>
      </w:pPr>
      <w:r>
        <w:rPr>
          <w:rStyle w:val="EndnoteReference"/>
        </w:rPr>
        <w:endnoteRef/>
      </w:r>
      <w:r w:rsidR="00B73CB9">
        <w:t xml:space="preserve"> </w:t>
      </w:r>
      <w:r w:rsidR="00AD72EE" w:rsidRPr="008E637D">
        <w:rPr>
          <w:rFonts w:cs="Arial"/>
          <w:sz w:val="22"/>
          <w:szCs w:val="22"/>
          <w:bdr w:val="none" w:sz="0" w:space="0" w:color="auto" w:frame="1"/>
          <w:shd w:val="clear" w:color="auto" w:fill="FFFFFF"/>
        </w:rPr>
        <w:t>Nakayama G et al, Evidence of effectiveness of a fracture liaison service to reduce the re-fracture rate, Osteoporosis Int, December 2015</w:t>
      </w:r>
    </w:p>
  </w:endnote>
  <w:endnote w:id="5">
    <w:p w14:paraId="3B3968F0" w14:textId="382B9565" w:rsidR="003B2C77" w:rsidRPr="003B2C77" w:rsidRDefault="003B2C77" w:rsidP="00873557">
      <w:pPr>
        <w:pStyle w:val="EndnoteText"/>
        <w:spacing w:after="120"/>
        <w:rPr>
          <w:lang w:val="en-GB"/>
        </w:rPr>
      </w:pPr>
      <w:r>
        <w:rPr>
          <w:rStyle w:val="EndnoteReference"/>
        </w:rPr>
        <w:endnoteRef/>
      </w:r>
      <w:r>
        <w:t xml:space="preserve"> </w:t>
      </w:r>
      <w:r w:rsidRPr="00F7283C">
        <w:rPr>
          <w:rFonts w:cs="Arial"/>
          <w:sz w:val="22"/>
          <w:szCs w:val="22"/>
          <w:bdr w:val="none" w:sz="0" w:space="0" w:color="auto" w:frame="1"/>
          <w:shd w:val="clear" w:color="auto" w:fill="FFFFFF"/>
        </w:rPr>
        <w:t>Royal College of Physicians.</w:t>
      </w:r>
      <w:r w:rsidRPr="00F7283C">
        <w:rPr>
          <w:rStyle w:val="apple-converted-space"/>
          <w:rFonts w:cs="Arial"/>
          <w:sz w:val="22"/>
          <w:szCs w:val="22"/>
          <w:bdr w:val="none" w:sz="0" w:space="0" w:color="auto" w:frame="1"/>
          <w:shd w:val="clear" w:color="auto" w:fill="FFFFFF"/>
        </w:rPr>
        <w:t> </w:t>
      </w:r>
      <w:r w:rsidRPr="00F7283C">
        <w:rPr>
          <w:rStyle w:val="Emphasis"/>
          <w:rFonts w:cs="Arial"/>
          <w:sz w:val="22"/>
          <w:szCs w:val="22"/>
          <w:bdr w:val="none" w:sz="0" w:space="0" w:color="auto" w:frame="1"/>
          <w:shd w:val="clear" w:color="auto" w:fill="FFFFFF"/>
        </w:rPr>
        <w:t>Falling Standards, Broken Promises: Report of the national audit of falls and bones health in older people 2010.</w:t>
      </w:r>
      <w:r w:rsidRPr="00F7283C">
        <w:rPr>
          <w:rFonts w:cs="Arial"/>
          <w:sz w:val="22"/>
          <w:szCs w:val="22"/>
          <w:bdr w:val="none" w:sz="0" w:space="0" w:color="auto" w:frame="1"/>
          <w:shd w:val="clear" w:color="auto" w:fill="FFFFFF"/>
        </w:rPr>
        <w:t> 2011 London: Royal College of Physicians. </w:t>
      </w:r>
    </w:p>
  </w:endnote>
  <w:endnote w:id="6">
    <w:p w14:paraId="53B6C538" w14:textId="0AED3E9D" w:rsidR="00575D77" w:rsidRPr="00575D77" w:rsidRDefault="00575D77" w:rsidP="00873557">
      <w:pPr>
        <w:pStyle w:val="EndnoteText"/>
        <w:spacing w:after="120"/>
        <w:rPr>
          <w:lang w:val="en-GB"/>
        </w:rPr>
      </w:pPr>
      <w:r>
        <w:rPr>
          <w:rStyle w:val="EndnoteReference"/>
        </w:rPr>
        <w:endnoteRef/>
      </w:r>
      <w:r>
        <w:t xml:space="preserve"> </w:t>
      </w:r>
      <w:r w:rsidRPr="00F7283C">
        <w:rPr>
          <w:rFonts w:cs="Arial"/>
          <w:sz w:val="22"/>
          <w:szCs w:val="22"/>
          <w:bdr w:val="none" w:sz="0" w:space="0" w:color="auto" w:frame="1"/>
          <w:shd w:val="clear" w:color="auto" w:fill="FFFFFF"/>
        </w:rPr>
        <w:t>Scottish Government.</w:t>
      </w:r>
      <w:r w:rsidRPr="00F7283C">
        <w:rPr>
          <w:rStyle w:val="apple-converted-space"/>
          <w:rFonts w:cs="Arial"/>
          <w:sz w:val="22"/>
          <w:szCs w:val="22"/>
          <w:bdr w:val="none" w:sz="0" w:space="0" w:color="auto" w:frame="1"/>
          <w:shd w:val="clear" w:color="auto" w:fill="FFFFFF"/>
        </w:rPr>
        <w:t> </w:t>
      </w:r>
      <w:r w:rsidRPr="00F7283C">
        <w:rPr>
          <w:rStyle w:val="Emphasis"/>
          <w:rFonts w:cs="Arial"/>
          <w:sz w:val="22"/>
          <w:szCs w:val="22"/>
          <w:bdr w:val="none" w:sz="0" w:space="0" w:color="auto" w:frame="1"/>
          <w:shd w:val="clear" w:color="auto" w:fill="FFFFFF"/>
        </w:rPr>
        <w:t>Up and about or falling short: A report of the findings of a mapping of services for falls prevention and management and fracture prevention in older people in Scotland.</w:t>
      </w:r>
      <w:r w:rsidRPr="00F7283C">
        <w:rPr>
          <w:rFonts w:cs="Arial"/>
          <w:sz w:val="22"/>
          <w:szCs w:val="22"/>
          <w:bdr w:val="none" w:sz="0" w:space="0" w:color="auto" w:frame="1"/>
          <w:shd w:val="clear" w:color="auto" w:fill="FFFFFF"/>
        </w:rPr>
        <w:t> 2012. Edinburgh: Scottish Government</w:t>
      </w:r>
      <w:r w:rsidR="00873557">
        <w:rPr>
          <w:rFonts w:cs="Arial"/>
          <w:sz w:val="22"/>
          <w:szCs w:val="22"/>
          <w:bdr w:val="none" w:sz="0" w:space="0" w:color="auto" w:frame="1"/>
          <w:shd w:val="clear" w:color="auto" w:fill="FFFFFF"/>
        </w:rPr>
        <w:t>.</w:t>
      </w:r>
    </w:p>
  </w:endnote>
  <w:endnote w:id="7">
    <w:p w14:paraId="03310997" w14:textId="6612ED19" w:rsidR="00273A6B" w:rsidRPr="00273A6B" w:rsidRDefault="00273A6B" w:rsidP="00873557">
      <w:pPr>
        <w:pStyle w:val="EndnoteText"/>
        <w:spacing w:after="120"/>
        <w:rPr>
          <w:lang w:val="en-GB"/>
        </w:rPr>
      </w:pPr>
      <w:r>
        <w:rPr>
          <w:rStyle w:val="EndnoteReference"/>
        </w:rPr>
        <w:endnoteRef/>
      </w:r>
      <w:r>
        <w:t xml:space="preserve"> </w:t>
      </w:r>
      <w:r w:rsidRPr="00F7283C">
        <w:rPr>
          <w:sz w:val="22"/>
          <w:szCs w:val="22"/>
        </w:rPr>
        <w:t xml:space="preserve">British Orthopaedic Association, </w:t>
      </w:r>
      <w:r>
        <w:rPr>
          <w:sz w:val="22"/>
          <w:szCs w:val="22"/>
        </w:rPr>
        <w:t>(</w:t>
      </w:r>
      <w:r w:rsidRPr="00F7283C">
        <w:rPr>
          <w:sz w:val="22"/>
          <w:szCs w:val="22"/>
        </w:rPr>
        <w:t>2007</w:t>
      </w:r>
      <w:r>
        <w:rPr>
          <w:sz w:val="22"/>
          <w:szCs w:val="22"/>
        </w:rPr>
        <w:t xml:space="preserve">). </w:t>
      </w:r>
      <w:r w:rsidRPr="00F7283C">
        <w:rPr>
          <w:sz w:val="22"/>
          <w:szCs w:val="22"/>
        </w:rPr>
        <w:t xml:space="preserve">The Blue Book: The Care of Patients with Fragility Fractures.  London: British Orthopaedic Association.  </w:t>
      </w:r>
    </w:p>
  </w:endnote>
  <w:endnote w:id="8">
    <w:p w14:paraId="76454971" w14:textId="7F1EB417" w:rsidR="00ED701E" w:rsidRPr="00ED701E" w:rsidRDefault="00ED701E" w:rsidP="00873557">
      <w:pPr>
        <w:pStyle w:val="EndnoteText"/>
        <w:spacing w:after="120"/>
        <w:rPr>
          <w:lang w:val="en-GB"/>
        </w:rPr>
      </w:pPr>
      <w:r>
        <w:rPr>
          <w:rStyle w:val="EndnoteReference"/>
        </w:rPr>
        <w:endnoteRef/>
      </w:r>
      <w:r>
        <w:t xml:space="preserve"> </w:t>
      </w:r>
      <w:r w:rsidRPr="00F7283C">
        <w:rPr>
          <w:sz w:val="22"/>
          <w:szCs w:val="22"/>
        </w:rPr>
        <w:t xml:space="preserve">Gallagher J, Melton L, Riggs B and Bergstrath E, 1980. Epidemiology of fractures of the proximal femur in Rochester, Minnesota. </w:t>
      </w:r>
      <w:r w:rsidRPr="00F7283C">
        <w:rPr>
          <w:i/>
          <w:sz w:val="22"/>
          <w:szCs w:val="22"/>
        </w:rPr>
        <w:t>Clin Orthop Relat Res</w:t>
      </w:r>
      <w:r w:rsidRPr="00F7283C">
        <w:rPr>
          <w:sz w:val="22"/>
          <w:szCs w:val="22"/>
        </w:rPr>
        <w:t xml:space="preserve"> 150, pp.163-171.</w:t>
      </w:r>
    </w:p>
  </w:endnote>
  <w:endnote w:id="9">
    <w:p w14:paraId="28D73413" w14:textId="27577A14" w:rsidR="00ED701E" w:rsidRPr="00ED701E" w:rsidRDefault="00ED701E" w:rsidP="00873557">
      <w:pPr>
        <w:pStyle w:val="EndnoteText"/>
        <w:spacing w:after="120"/>
        <w:rPr>
          <w:lang w:val="en-GB"/>
        </w:rPr>
      </w:pPr>
      <w:r>
        <w:rPr>
          <w:rStyle w:val="EndnoteReference"/>
        </w:rPr>
        <w:endnoteRef/>
      </w:r>
      <w:r>
        <w:t xml:space="preserve"> </w:t>
      </w:r>
      <w:r w:rsidRPr="00F7283C">
        <w:rPr>
          <w:rFonts w:cs="Arial"/>
          <w:sz w:val="22"/>
          <w:szCs w:val="22"/>
        </w:rPr>
        <w:t xml:space="preserve">Port L, Center J, Briffa N, Nguyen T, Cumming R, and Eisman J, </w:t>
      </w:r>
      <w:r>
        <w:rPr>
          <w:rFonts w:cs="Arial"/>
          <w:sz w:val="22"/>
          <w:szCs w:val="22"/>
        </w:rPr>
        <w:t>(</w:t>
      </w:r>
      <w:r w:rsidRPr="00F7283C">
        <w:rPr>
          <w:rFonts w:cs="Arial"/>
          <w:sz w:val="22"/>
          <w:szCs w:val="22"/>
        </w:rPr>
        <w:t>2003</w:t>
      </w:r>
      <w:r>
        <w:rPr>
          <w:rFonts w:cs="Arial"/>
          <w:sz w:val="22"/>
          <w:szCs w:val="22"/>
        </w:rPr>
        <w:t>)</w:t>
      </w:r>
      <w:r w:rsidRPr="00F7283C">
        <w:rPr>
          <w:rFonts w:cs="Arial"/>
          <w:sz w:val="22"/>
          <w:szCs w:val="22"/>
        </w:rPr>
        <w:t xml:space="preserve">. Osteoporotic fracture: missed opportunity for intervention. </w:t>
      </w:r>
      <w:r w:rsidRPr="00F7283C">
        <w:rPr>
          <w:rFonts w:cs="Arial"/>
          <w:i/>
          <w:sz w:val="22"/>
          <w:szCs w:val="22"/>
        </w:rPr>
        <w:t>Osteoporos Int.</w:t>
      </w:r>
      <w:r w:rsidRPr="00F7283C">
        <w:rPr>
          <w:rFonts w:cs="Arial"/>
          <w:sz w:val="22"/>
          <w:szCs w:val="22"/>
        </w:rPr>
        <w:t xml:space="preserve"> 14(9), pp.780-784.</w:t>
      </w:r>
    </w:p>
  </w:endnote>
  <w:endnote w:id="10">
    <w:p w14:paraId="6001BCE9" w14:textId="43F853F6" w:rsidR="00ED701E" w:rsidRPr="00ED701E" w:rsidRDefault="00ED701E" w:rsidP="00873557">
      <w:pPr>
        <w:pStyle w:val="EndnoteText"/>
        <w:spacing w:after="120"/>
        <w:rPr>
          <w:lang w:val="en-GB"/>
        </w:rPr>
      </w:pPr>
      <w:r>
        <w:rPr>
          <w:rStyle w:val="EndnoteReference"/>
        </w:rPr>
        <w:endnoteRef/>
      </w:r>
      <w:r>
        <w:t xml:space="preserve"> </w:t>
      </w:r>
      <w:r w:rsidRPr="00F7283C">
        <w:rPr>
          <w:rFonts w:cs="Arial"/>
          <w:sz w:val="22"/>
          <w:szCs w:val="22"/>
        </w:rPr>
        <w:t xml:space="preserve">McLellan A, Reid D, Forbes K, et al, </w:t>
      </w:r>
      <w:r>
        <w:rPr>
          <w:rFonts w:cs="Arial"/>
          <w:sz w:val="22"/>
          <w:szCs w:val="22"/>
        </w:rPr>
        <w:t>(</w:t>
      </w:r>
      <w:r w:rsidRPr="00F7283C">
        <w:rPr>
          <w:rFonts w:cs="Arial"/>
          <w:sz w:val="22"/>
          <w:szCs w:val="22"/>
        </w:rPr>
        <w:t>2004</w:t>
      </w:r>
      <w:r>
        <w:rPr>
          <w:rFonts w:cs="Arial"/>
          <w:sz w:val="22"/>
          <w:szCs w:val="22"/>
        </w:rPr>
        <w:t>)</w:t>
      </w:r>
      <w:r w:rsidRPr="00F7283C">
        <w:rPr>
          <w:rFonts w:cs="Arial"/>
          <w:sz w:val="22"/>
          <w:szCs w:val="22"/>
        </w:rPr>
        <w:t>. Effectiveness of Strategies for the Secondary Prevention of Osteoporotic Fractures in Scotland (CEPS 99/03): NHS Quality Improvement Scotland.</w:t>
      </w:r>
    </w:p>
  </w:endnote>
  <w:endnote w:id="11">
    <w:p w14:paraId="39D2B9A7" w14:textId="7DF8C423" w:rsidR="00ED701E" w:rsidRPr="00ED701E" w:rsidRDefault="00ED701E" w:rsidP="00873557">
      <w:pPr>
        <w:pStyle w:val="EndnoteText"/>
        <w:spacing w:after="120"/>
        <w:rPr>
          <w:lang w:val="en-GB"/>
        </w:rPr>
      </w:pPr>
      <w:r>
        <w:rPr>
          <w:rStyle w:val="EndnoteReference"/>
        </w:rPr>
        <w:endnoteRef/>
      </w:r>
      <w:r>
        <w:t xml:space="preserve"> </w:t>
      </w:r>
      <w:r w:rsidRPr="00F7283C">
        <w:rPr>
          <w:rFonts w:cs="Arial"/>
          <w:sz w:val="22"/>
          <w:szCs w:val="22"/>
        </w:rPr>
        <w:t xml:space="preserve">Edwards B, Bunta A, Simonelli C, Bolander M and Fitzpatrick L, </w:t>
      </w:r>
      <w:r>
        <w:rPr>
          <w:rFonts w:cs="Arial"/>
          <w:sz w:val="22"/>
          <w:szCs w:val="22"/>
        </w:rPr>
        <w:t>(</w:t>
      </w:r>
      <w:r w:rsidRPr="00F7283C">
        <w:rPr>
          <w:rFonts w:cs="Arial"/>
          <w:sz w:val="22"/>
          <w:szCs w:val="22"/>
        </w:rPr>
        <w:t>2007</w:t>
      </w:r>
      <w:r>
        <w:rPr>
          <w:rFonts w:cs="Arial"/>
          <w:sz w:val="22"/>
          <w:szCs w:val="22"/>
        </w:rPr>
        <w:t>)</w:t>
      </w:r>
      <w:r w:rsidRPr="00F7283C">
        <w:rPr>
          <w:rFonts w:cs="Arial"/>
          <w:sz w:val="22"/>
          <w:szCs w:val="22"/>
        </w:rPr>
        <w:t xml:space="preserve">. Prior fractures are common in patients with subsequent hip fractures. </w:t>
      </w:r>
      <w:r w:rsidRPr="00F7283C">
        <w:rPr>
          <w:rFonts w:cs="Arial"/>
          <w:i/>
          <w:sz w:val="22"/>
          <w:szCs w:val="22"/>
        </w:rPr>
        <w:t>Clin Orthop Relat Res</w:t>
      </w:r>
      <w:r w:rsidRPr="00F7283C">
        <w:rPr>
          <w:rFonts w:cs="Arial"/>
          <w:sz w:val="22"/>
          <w:szCs w:val="22"/>
        </w:rPr>
        <w:t>. 461, pp.226-230.</w:t>
      </w:r>
    </w:p>
  </w:endnote>
  <w:endnote w:id="12">
    <w:p w14:paraId="27CFC00B" w14:textId="274088EB" w:rsidR="00ED701E" w:rsidRPr="00ED701E" w:rsidRDefault="00ED701E">
      <w:pPr>
        <w:pStyle w:val="EndnoteText"/>
        <w:rPr>
          <w:lang w:val="en-GB"/>
        </w:rPr>
      </w:pPr>
      <w:r>
        <w:rPr>
          <w:rStyle w:val="EndnoteReference"/>
        </w:rPr>
        <w:endnoteRef/>
      </w:r>
      <w:r>
        <w:t xml:space="preserve"> </w:t>
      </w:r>
      <w:r w:rsidRPr="00F7283C">
        <w:rPr>
          <w:sz w:val="22"/>
          <w:szCs w:val="22"/>
        </w:rPr>
        <w:t xml:space="preserve">Department of Health, </w:t>
      </w:r>
      <w:r>
        <w:rPr>
          <w:sz w:val="22"/>
          <w:szCs w:val="22"/>
        </w:rPr>
        <w:t>(</w:t>
      </w:r>
      <w:r w:rsidRPr="00F7283C">
        <w:rPr>
          <w:sz w:val="22"/>
          <w:szCs w:val="22"/>
        </w:rPr>
        <w:t>2009</w:t>
      </w:r>
      <w:r>
        <w:rPr>
          <w:sz w:val="22"/>
          <w:szCs w:val="22"/>
        </w:rPr>
        <w:t>)</w:t>
      </w:r>
      <w:r w:rsidRPr="00F7283C">
        <w:rPr>
          <w:sz w:val="22"/>
          <w:szCs w:val="22"/>
        </w:rPr>
        <w:t>.  Falls and Fractures: Effective interventions in health and social care.  London: Department of 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ntax">
    <w:altName w:val="Cambria"/>
    <w:panose1 w:val="00000000000000000000"/>
    <w:charset w:val="4D"/>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ileron Light">
    <w:altName w:val="Aileron Light"/>
    <w:panose1 w:val="000004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99F2" w14:textId="77777777" w:rsidR="00BE08E1" w:rsidRDefault="008B0B8D">
    <w:pPr>
      <w:pStyle w:val="Footer"/>
      <w:tabs>
        <w:tab w:val="clear" w:pos="4680"/>
        <w:tab w:val="clear" w:pos="9360"/>
      </w:tabs>
      <w:jc w:val="center"/>
      <w:rPr>
        <w:caps/>
        <w:noProof/>
        <w:color w:val="4F81BD" w:themeColor="accent1"/>
      </w:rPr>
    </w:pPr>
    <w:r>
      <w:rPr>
        <w:caps/>
        <w:color w:val="4F81BD" w:themeColor="accent1"/>
      </w:rPr>
      <w:fldChar w:fldCharType="begin"/>
    </w:r>
    <w:r w:rsidR="00BE08E1">
      <w:rPr>
        <w:caps/>
        <w:color w:val="4F81BD" w:themeColor="accent1"/>
      </w:rPr>
      <w:instrText xml:space="preserve"> PAGE   \* MERGEFORMAT </w:instrText>
    </w:r>
    <w:r>
      <w:rPr>
        <w:caps/>
        <w:color w:val="4F81BD" w:themeColor="accent1"/>
      </w:rPr>
      <w:fldChar w:fldCharType="separate"/>
    </w:r>
    <w:r w:rsidR="0065043F">
      <w:rPr>
        <w:caps/>
        <w:noProof/>
        <w:color w:val="4F81BD" w:themeColor="accent1"/>
      </w:rPr>
      <w:t>14</w:t>
    </w:r>
    <w:r>
      <w:rPr>
        <w:caps/>
        <w:noProof/>
        <w:color w:val="4F81BD" w:themeColor="accent1"/>
      </w:rPr>
      <w:fldChar w:fldCharType="end"/>
    </w:r>
  </w:p>
  <w:p w14:paraId="09AFE496" w14:textId="77777777" w:rsidR="00BE08E1" w:rsidRDefault="00BE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41D48" w14:textId="77777777" w:rsidR="00653A11" w:rsidRDefault="00653A11" w:rsidP="00443B52">
      <w:pPr>
        <w:spacing w:after="0"/>
      </w:pPr>
      <w:r>
        <w:separator/>
      </w:r>
    </w:p>
  </w:footnote>
  <w:footnote w:type="continuationSeparator" w:id="0">
    <w:p w14:paraId="388ED2A6" w14:textId="77777777" w:rsidR="00653A11" w:rsidRDefault="00653A11" w:rsidP="00443B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76F"/>
    <w:multiLevelType w:val="hybridMultilevel"/>
    <w:tmpl w:val="FF146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93379"/>
    <w:multiLevelType w:val="hybridMultilevel"/>
    <w:tmpl w:val="C8DAD55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2BAE"/>
    <w:multiLevelType w:val="hybridMultilevel"/>
    <w:tmpl w:val="625CD4CC"/>
    <w:lvl w:ilvl="0" w:tplc="08090001">
      <w:start w:val="1"/>
      <w:numFmt w:val="bullet"/>
      <w:lvlText w:val=""/>
      <w:lvlJc w:val="left"/>
      <w:pPr>
        <w:ind w:left="2508" w:hanging="360"/>
      </w:pPr>
      <w:rPr>
        <w:rFonts w:ascii="Symbol" w:hAnsi="Symbol" w:hint="default"/>
      </w:rPr>
    </w:lvl>
    <w:lvl w:ilvl="1" w:tplc="04090003">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F1A6E"/>
    <w:multiLevelType w:val="hybridMultilevel"/>
    <w:tmpl w:val="85B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04458"/>
    <w:multiLevelType w:val="hybridMultilevel"/>
    <w:tmpl w:val="BC162412"/>
    <w:lvl w:ilvl="0" w:tplc="08090015">
      <w:start w:val="1"/>
      <w:numFmt w:val="upp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6" w15:restartNumberingAfterBreak="0">
    <w:nsid w:val="139D34B1"/>
    <w:multiLevelType w:val="hybridMultilevel"/>
    <w:tmpl w:val="6624E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01292"/>
    <w:multiLevelType w:val="hybridMultilevel"/>
    <w:tmpl w:val="0054F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15:restartNumberingAfterBreak="0">
    <w:nsid w:val="2545748B"/>
    <w:multiLevelType w:val="hybridMultilevel"/>
    <w:tmpl w:val="8ACE935A"/>
    <w:lvl w:ilvl="0" w:tplc="0809001B">
      <w:start w:val="1"/>
      <w:numFmt w:val="lowerRoman"/>
      <w:lvlText w:val="%1."/>
      <w:lvlJc w:val="right"/>
      <w:pPr>
        <w:ind w:left="2508" w:hanging="360"/>
      </w:pPr>
      <w:rPr>
        <w:rFonts w:hint="default"/>
      </w:rPr>
    </w:lvl>
    <w:lvl w:ilvl="1" w:tplc="04090003">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9" w15:restartNumberingAfterBreak="0">
    <w:nsid w:val="2E95597A"/>
    <w:multiLevelType w:val="multilevel"/>
    <w:tmpl w:val="BCA23CAA"/>
    <w:lvl w:ilvl="0">
      <w:start w:val="1"/>
      <w:numFmt w:val="decimal"/>
      <w:lvlText w:val="%1"/>
      <w:lvlJc w:val="left"/>
      <w:pPr>
        <w:ind w:left="360" w:hanging="360"/>
      </w:pPr>
      <w:rPr>
        <w:rFonts w:hint="default"/>
      </w:rPr>
    </w:lvl>
    <w:lvl w:ilvl="1">
      <w:start w:val="1"/>
      <w:numFmt w:val="decimal"/>
      <w:pStyle w:val="Sub-heading"/>
      <w:lvlText w:val="%1.%2"/>
      <w:lvlJc w:val="left"/>
      <w:pPr>
        <w:ind w:left="360" w:hanging="360"/>
      </w:pPr>
      <w:rPr>
        <w:rFonts w:ascii="Verdana" w:hAnsi="Verdana" w:cs="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E4559"/>
    <w:multiLevelType w:val="hybridMultilevel"/>
    <w:tmpl w:val="5C267976"/>
    <w:lvl w:ilvl="0" w:tplc="08090015">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65589"/>
    <w:multiLevelType w:val="hybridMultilevel"/>
    <w:tmpl w:val="29D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2D6B59"/>
    <w:multiLevelType w:val="hybridMultilevel"/>
    <w:tmpl w:val="21D416FE"/>
    <w:lvl w:ilvl="0" w:tplc="04090003">
      <w:start w:val="1"/>
      <w:numFmt w:val="bullet"/>
      <w:lvlText w:val="o"/>
      <w:lvlJc w:val="left"/>
      <w:pPr>
        <w:ind w:left="1083" w:hanging="360"/>
      </w:pPr>
      <w:rPr>
        <w:rFonts w:ascii="Courier New" w:hAnsi="Courier New" w:cs="Courier New"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15:restartNumberingAfterBreak="0">
    <w:nsid w:val="54BC098D"/>
    <w:multiLevelType w:val="hybridMultilevel"/>
    <w:tmpl w:val="F1F043EC"/>
    <w:lvl w:ilvl="0" w:tplc="5BF8C55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12A46"/>
    <w:multiLevelType w:val="hybridMultilevel"/>
    <w:tmpl w:val="DA0EF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54B18"/>
    <w:multiLevelType w:val="hybridMultilevel"/>
    <w:tmpl w:val="308237D8"/>
    <w:lvl w:ilvl="0" w:tplc="5BF8C55C">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D2805"/>
    <w:multiLevelType w:val="multilevel"/>
    <w:tmpl w:val="E5A0A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02621E2"/>
    <w:multiLevelType w:val="hybridMultilevel"/>
    <w:tmpl w:val="0D2EE062"/>
    <w:lvl w:ilvl="0" w:tplc="0809000F">
      <w:start w:val="1"/>
      <w:numFmt w:val="decimal"/>
      <w:lvlText w:val="%1."/>
      <w:lvlJc w:val="left"/>
      <w:pPr>
        <w:ind w:left="2508" w:hanging="360"/>
      </w:pPr>
      <w:rPr>
        <w:rFonts w:hint="default"/>
      </w:rPr>
    </w:lvl>
    <w:lvl w:ilvl="1" w:tplc="04090003">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18" w15:restartNumberingAfterBreak="0">
    <w:nsid w:val="7AE45764"/>
    <w:multiLevelType w:val="hybridMultilevel"/>
    <w:tmpl w:val="DA30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4"/>
  </w:num>
  <w:num w:numId="6">
    <w:abstractNumId w:val="1"/>
  </w:num>
  <w:num w:numId="7">
    <w:abstractNumId w:val="7"/>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2"/>
  </w:num>
  <w:num w:numId="14">
    <w:abstractNumId w:val="0"/>
  </w:num>
  <w:num w:numId="15">
    <w:abstractNumId w:val="11"/>
  </w:num>
  <w:num w:numId="16">
    <w:abstractNumId w:val="13"/>
  </w:num>
  <w:num w:numId="17">
    <w:abstractNumId w:val="15"/>
  </w:num>
  <w:num w:numId="18">
    <w:abstractNumId w:val="6"/>
  </w:num>
  <w:num w:numId="19">
    <w:abstractNumId w:val="8"/>
  </w:num>
  <w:num w:numId="20">
    <w:abstractNumId w:val="17"/>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83"/>
    <w:rsid w:val="00006093"/>
    <w:rsid w:val="00006C33"/>
    <w:rsid w:val="00034BFC"/>
    <w:rsid w:val="00040056"/>
    <w:rsid w:val="00051C41"/>
    <w:rsid w:val="00060E86"/>
    <w:rsid w:val="000753AD"/>
    <w:rsid w:val="00075A83"/>
    <w:rsid w:val="00075C0B"/>
    <w:rsid w:val="000A034D"/>
    <w:rsid w:val="000B2192"/>
    <w:rsid w:val="000B5000"/>
    <w:rsid w:val="000E0C63"/>
    <w:rsid w:val="000E5778"/>
    <w:rsid w:val="000F0274"/>
    <w:rsid w:val="00112D17"/>
    <w:rsid w:val="00133AA5"/>
    <w:rsid w:val="00142C3B"/>
    <w:rsid w:val="00145D5B"/>
    <w:rsid w:val="00156493"/>
    <w:rsid w:val="00187B63"/>
    <w:rsid w:val="00194398"/>
    <w:rsid w:val="00194D0B"/>
    <w:rsid w:val="001A6E35"/>
    <w:rsid w:val="001A78F3"/>
    <w:rsid w:val="001C5A9B"/>
    <w:rsid w:val="001D5F97"/>
    <w:rsid w:val="001E1EE0"/>
    <w:rsid w:val="001E5135"/>
    <w:rsid w:val="002137E7"/>
    <w:rsid w:val="0022553E"/>
    <w:rsid w:val="00225616"/>
    <w:rsid w:val="0023022A"/>
    <w:rsid w:val="00236B23"/>
    <w:rsid w:val="00242F6C"/>
    <w:rsid w:val="00245988"/>
    <w:rsid w:val="00246A4E"/>
    <w:rsid w:val="00256431"/>
    <w:rsid w:val="0026228C"/>
    <w:rsid w:val="00270BD2"/>
    <w:rsid w:val="00271B52"/>
    <w:rsid w:val="00273A6B"/>
    <w:rsid w:val="00280026"/>
    <w:rsid w:val="0028559A"/>
    <w:rsid w:val="00285E79"/>
    <w:rsid w:val="00290971"/>
    <w:rsid w:val="00292662"/>
    <w:rsid w:val="00292E69"/>
    <w:rsid w:val="002A0745"/>
    <w:rsid w:val="002A263D"/>
    <w:rsid w:val="002A4224"/>
    <w:rsid w:val="002B027A"/>
    <w:rsid w:val="002D017C"/>
    <w:rsid w:val="002D4FE0"/>
    <w:rsid w:val="002F54D4"/>
    <w:rsid w:val="0030346C"/>
    <w:rsid w:val="00312FA1"/>
    <w:rsid w:val="0032785B"/>
    <w:rsid w:val="00330292"/>
    <w:rsid w:val="0033428C"/>
    <w:rsid w:val="003412FE"/>
    <w:rsid w:val="00353FDD"/>
    <w:rsid w:val="00362482"/>
    <w:rsid w:val="00372920"/>
    <w:rsid w:val="003911B5"/>
    <w:rsid w:val="003A13F6"/>
    <w:rsid w:val="003A4A55"/>
    <w:rsid w:val="003A6635"/>
    <w:rsid w:val="003A6884"/>
    <w:rsid w:val="003B094D"/>
    <w:rsid w:val="003B2C77"/>
    <w:rsid w:val="003C13E5"/>
    <w:rsid w:val="003E4F18"/>
    <w:rsid w:val="0040520C"/>
    <w:rsid w:val="00417914"/>
    <w:rsid w:val="004216B9"/>
    <w:rsid w:val="00443B52"/>
    <w:rsid w:val="004442C3"/>
    <w:rsid w:val="004471CB"/>
    <w:rsid w:val="0044758D"/>
    <w:rsid w:val="00450EAF"/>
    <w:rsid w:val="004518B3"/>
    <w:rsid w:val="00454466"/>
    <w:rsid w:val="00454F50"/>
    <w:rsid w:val="00466D87"/>
    <w:rsid w:val="00470521"/>
    <w:rsid w:val="00476FF5"/>
    <w:rsid w:val="00482C6E"/>
    <w:rsid w:val="00491397"/>
    <w:rsid w:val="004C6678"/>
    <w:rsid w:val="004D645F"/>
    <w:rsid w:val="004D7B32"/>
    <w:rsid w:val="004F5248"/>
    <w:rsid w:val="004F6E3C"/>
    <w:rsid w:val="004F7882"/>
    <w:rsid w:val="00504619"/>
    <w:rsid w:val="00506DD5"/>
    <w:rsid w:val="00516466"/>
    <w:rsid w:val="005223AA"/>
    <w:rsid w:val="0053284D"/>
    <w:rsid w:val="0053337E"/>
    <w:rsid w:val="00533CF8"/>
    <w:rsid w:val="005342E8"/>
    <w:rsid w:val="00545D4B"/>
    <w:rsid w:val="005479DE"/>
    <w:rsid w:val="00557792"/>
    <w:rsid w:val="00562082"/>
    <w:rsid w:val="0056267A"/>
    <w:rsid w:val="0057018E"/>
    <w:rsid w:val="00571A5E"/>
    <w:rsid w:val="00574589"/>
    <w:rsid w:val="00575D77"/>
    <w:rsid w:val="005769C2"/>
    <w:rsid w:val="00584B63"/>
    <w:rsid w:val="005901F1"/>
    <w:rsid w:val="00590EB6"/>
    <w:rsid w:val="00595F2A"/>
    <w:rsid w:val="005C283C"/>
    <w:rsid w:val="005C32CF"/>
    <w:rsid w:val="005E11DA"/>
    <w:rsid w:val="005E2BDD"/>
    <w:rsid w:val="005E5B03"/>
    <w:rsid w:val="005E70D6"/>
    <w:rsid w:val="005F1BB9"/>
    <w:rsid w:val="00602507"/>
    <w:rsid w:val="006065E7"/>
    <w:rsid w:val="0061049E"/>
    <w:rsid w:val="00630685"/>
    <w:rsid w:val="00632CFC"/>
    <w:rsid w:val="006351F4"/>
    <w:rsid w:val="0065043F"/>
    <w:rsid w:val="00653A11"/>
    <w:rsid w:val="0065602C"/>
    <w:rsid w:val="00661828"/>
    <w:rsid w:val="00663C8C"/>
    <w:rsid w:val="00681654"/>
    <w:rsid w:val="006966B2"/>
    <w:rsid w:val="006B0FC3"/>
    <w:rsid w:val="006B6BAE"/>
    <w:rsid w:val="006C4308"/>
    <w:rsid w:val="006E0BBF"/>
    <w:rsid w:val="006F237F"/>
    <w:rsid w:val="006F2D9D"/>
    <w:rsid w:val="006F4DE1"/>
    <w:rsid w:val="0070501B"/>
    <w:rsid w:val="00711CC6"/>
    <w:rsid w:val="00715E2B"/>
    <w:rsid w:val="00723DA4"/>
    <w:rsid w:val="0076551F"/>
    <w:rsid w:val="007759C1"/>
    <w:rsid w:val="0078604F"/>
    <w:rsid w:val="00794DF7"/>
    <w:rsid w:val="00795A87"/>
    <w:rsid w:val="007A0C9E"/>
    <w:rsid w:val="007A305F"/>
    <w:rsid w:val="007C0783"/>
    <w:rsid w:val="007C6A7D"/>
    <w:rsid w:val="007D3594"/>
    <w:rsid w:val="007D5861"/>
    <w:rsid w:val="007F1F41"/>
    <w:rsid w:val="007F275F"/>
    <w:rsid w:val="007F6D58"/>
    <w:rsid w:val="00811FCB"/>
    <w:rsid w:val="00816C4A"/>
    <w:rsid w:val="00827D01"/>
    <w:rsid w:val="00840A43"/>
    <w:rsid w:val="00850A1A"/>
    <w:rsid w:val="008540DA"/>
    <w:rsid w:val="00862521"/>
    <w:rsid w:val="00873557"/>
    <w:rsid w:val="00875625"/>
    <w:rsid w:val="00875B99"/>
    <w:rsid w:val="0087684C"/>
    <w:rsid w:val="0089238E"/>
    <w:rsid w:val="008A1F59"/>
    <w:rsid w:val="008B0B8D"/>
    <w:rsid w:val="008B259C"/>
    <w:rsid w:val="008B4629"/>
    <w:rsid w:val="008D254F"/>
    <w:rsid w:val="008D2CD7"/>
    <w:rsid w:val="008E637D"/>
    <w:rsid w:val="008F280E"/>
    <w:rsid w:val="008F3DED"/>
    <w:rsid w:val="008F4272"/>
    <w:rsid w:val="00900CFA"/>
    <w:rsid w:val="00916E5E"/>
    <w:rsid w:val="00933E90"/>
    <w:rsid w:val="00936DC7"/>
    <w:rsid w:val="009439A3"/>
    <w:rsid w:val="00945603"/>
    <w:rsid w:val="00947B6E"/>
    <w:rsid w:val="00955488"/>
    <w:rsid w:val="0096768B"/>
    <w:rsid w:val="00984123"/>
    <w:rsid w:val="00986ABD"/>
    <w:rsid w:val="00992044"/>
    <w:rsid w:val="009A6893"/>
    <w:rsid w:val="009A7215"/>
    <w:rsid w:val="009D2712"/>
    <w:rsid w:val="00A26AD1"/>
    <w:rsid w:val="00A273BC"/>
    <w:rsid w:val="00A34A26"/>
    <w:rsid w:val="00A4001D"/>
    <w:rsid w:val="00A438B1"/>
    <w:rsid w:val="00A53DF1"/>
    <w:rsid w:val="00A60659"/>
    <w:rsid w:val="00A60BD3"/>
    <w:rsid w:val="00A70CF0"/>
    <w:rsid w:val="00A81A8C"/>
    <w:rsid w:val="00A83AE1"/>
    <w:rsid w:val="00A90061"/>
    <w:rsid w:val="00AB0550"/>
    <w:rsid w:val="00AC1297"/>
    <w:rsid w:val="00AC657F"/>
    <w:rsid w:val="00AD0A83"/>
    <w:rsid w:val="00AD72EE"/>
    <w:rsid w:val="00AE07E2"/>
    <w:rsid w:val="00AF515C"/>
    <w:rsid w:val="00B00A97"/>
    <w:rsid w:val="00B23383"/>
    <w:rsid w:val="00B26E6A"/>
    <w:rsid w:val="00B416B1"/>
    <w:rsid w:val="00B417D0"/>
    <w:rsid w:val="00B441D5"/>
    <w:rsid w:val="00B451EC"/>
    <w:rsid w:val="00B63095"/>
    <w:rsid w:val="00B642FB"/>
    <w:rsid w:val="00B652F7"/>
    <w:rsid w:val="00B706D3"/>
    <w:rsid w:val="00B70D45"/>
    <w:rsid w:val="00B7395D"/>
    <w:rsid w:val="00B73CB9"/>
    <w:rsid w:val="00B93C64"/>
    <w:rsid w:val="00B95396"/>
    <w:rsid w:val="00BB6D9E"/>
    <w:rsid w:val="00BC07B2"/>
    <w:rsid w:val="00BC27F9"/>
    <w:rsid w:val="00BC3282"/>
    <w:rsid w:val="00BC3FF9"/>
    <w:rsid w:val="00BD0F0A"/>
    <w:rsid w:val="00BE08E1"/>
    <w:rsid w:val="00BE1212"/>
    <w:rsid w:val="00BE6926"/>
    <w:rsid w:val="00C11201"/>
    <w:rsid w:val="00C36566"/>
    <w:rsid w:val="00C43D03"/>
    <w:rsid w:val="00C44674"/>
    <w:rsid w:val="00C51FC2"/>
    <w:rsid w:val="00C72513"/>
    <w:rsid w:val="00C804B9"/>
    <w:rsid w:val="00C82AA9"/>
    <w:rsid w:val="00C84230"/>
    <w:rsid w:val="00C94AEF"/>
    <w:rsid w:val="00CA0E04"/>
    <w:rsid w:val="00CB2900"/>
    <w:rsid w:val="00CC100C"/>
    <w:rsid w:val="00CC7B50"/>
    <w:rsid w:val="00CD527D"/>
    <w:rsid w:val="00CE116E"/>
    <w:rsid w:val="00CE1C19"/>
    <w:rsid w:val="00CF7140"/>
    <w:rsid w:val="00D1260C"/>
    <w:rsid w:val="00D144B4"/>
    <w:rsid w:val="00D2161A"/>
    <w:rsid w:val="00D22264"/>
    <w:rsid w:val="00D22A43"/>
    <w:rsid w:val="00D23F77"/>
    <w:rsid w:val="00D279A3"/>
    <w:rsid w:val="00D31CF0"/>
    <w:rsid w:val="00D341B8"/>
    <w:rsid w:val="00D45A0A"/>
    <w:rsid w:val="00D67013"/>
    <w:rsid w:val="00D82516"/>
    <w:rsid w:val="00DA2453"/>
    <w:rsid w:val="00DA5268"/>
    <w:rsid w:val="00DA6BA9"/>
    <w:rsid w:val="00DB3BA0"/>
    <w:rsid w:val="00DC5C95"/>
    <w:rsid w:val="00DE3498"/>
    <w:rsid w:val="00DE7AD7"/>
    <w:rsid w:val="00E13C85"/>
    <w:rsid w:val="00E1449C"/>
    <w:rsid w:val="00E147A0"/>
    <w:rsid w:val="00E2032B"/>
    <w:rsid w:val="00E370A3"/>
    <w:rsid w:val="00E428DE"/>
    <w:rsid w:val="00E43272"/>
    <w:rsid w:val="00E458B1"/>
    <w:rsid w:val="00E47663"/>
    <w:rsid w:val="00E66A9B"/>
    <w:rsid w:val="00E677E2"/>
    <w:rsid w:val="00E704E1"/>
    <w:rsid w:val="00E74BEA"/>
    <w:rsid w:val="00E8291E"/>
    <w:rsid w:val="00E82F35"/>
    <w:rsid w:val="00E85AA4"/>
    <w:rsid w:val="00E94F48"/>
    <w:rsid w:val="00E94F69"/>
    <w:rsid w:val="00EA525E"/>
    <w:rsid w:val="00EA6DF4"/>
    <w:rsid w:val="00EB4117"/>
    <w:rsid w:val="00EB580C"/>
    <w:rsid w:val="00EC3E2B"/>
    <w:rsid w:val="00ED0425"/>
    <w:rsid w:val="00ED0BA5"/>
    <w:rsid w:val="00ED701E"/>
    <w:rsid w:val="00ED7923"/>
    <w:rsid w:val="00EF30D2"/>
    <w:rsid w:val="00EF5577"/>
    <w:rsid w:val="00F00D7B"/>
    <w:rsid w:val="00F1559B"/>
    <w:rsid w:val="00F1614B"/>
    <w:rsid w:val="00F16A82"/>
    <w:rsid w:val="00F24E46"/>
    <w:rsid w:val="00F257E7"/>
    <w:rsid w:val="00F30674"/>
    <w:rsid w:val="00F35AAE"/>
    <w:rsid w:val="00F40BB4"/>
    <w:rsid w:val="00F420D4"/>
    <w:rsid w:val="00F47CA6"/>
    <w:rsid w:val="00F53BEE"/>
    <w:rsid w:val="00F6047A"/>
    <w:rsid w:val="00F66BEE"/>
    <w:rsid w:val="00F7283C"/>
    <w:rsid w:val="00F84664"/>
    <w:rsid w:val="00F95D8E"/>
    <w:rsid w:val="00FC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C3B1BB"/>
  <w15:docId w15:val="{4050A613-C840-4AA0-A9C0-6365F244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83"/>
    <w:pPr>
      <w:spacing w:after="200"/>
    </w:pPr>
    <w:rPr>
      <w:rFonts w:eastAsiaTheme="minorEastAsia"/>
      <w:sz w:val="24"/>
      <w:szCs w:val="20"/>
      <w:lang w:val="en-US" w:eastAsia="ja-JP"/>
    </w:rPr>
  </w:style>
  <w:style w:type="paragraph" w:styleId="Heading1">
    <w:name w:val="heading 1"/>
    <w:basedOn w:val="Normal"/>
    <w:next w:val="Normal"/>
    <w:link w:val="Heading1Char"/>
    <w:uiPriority w:val="9"/>
    <w:qFormat/>
    <w:rsid w:val="00075A83"/>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83"/>
    <w:rPr>
      <w:rFonts w:ascii="Arial" w:eastAsiaTheme="minorEastAsia" w:hAnsi="Arial" w:cs="Arial"/>
      <w:b/>
      <w:sz w:val="28"/>
      <w:szCs w:val="28"/>
    </w:rPr>
  </w:style>
  <w:style w:type="table" w:styleId="TableGrid">
    <w:name w:val="Table Grid"/>
    <w:basedOn w:val="TableNormal"/>
    <w:uiPriority w:val="59"/>
    <w:rsid w:val="00075A8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75A83"/>
    <w:pPr>
      <w:spacing w:after="0"/>
      <w:ind w:left="720"/>
    </w:pPr>
    <w:rPr>
      <w:rFonts w:ascii="Times New Roman" w:eastAsia="Times New Roman" w:hAnsi="Times New Roman" w:cs="Times New Roman"/>
      <w:szCs w:val="24"/>
      <w:lang w:val="en-GB" w:eastAsia="en-GB"/>
    </w:rPr>
  </w:style>
  <w:style w:type="paragraph" w:styleId="BodyText">
    <w:name w:val="Body Text"/>
    <w:basedOn w:val="Normal"/>
    <w:link w:val="BodyTextChar"/>
    <w:rsid w:val="00F40BB4"/>
    <w:pPr>
      <w:spacing w:after="0"/>
    </w:pPr>
    <w:rPr>
      <w:rFonts w:ascii="Arial" w:eastAsia="Times New Roman" w:hAnsi="Arial" w:cs="Arial"/>
      <w:sz w:val="22"/>
      <w:szCs w:val="22"/>
      <w:lang w:val="en-GB" w:eastAsia="en-US"/>
    </w:rPr>
  </w:style>
  <w:style w:type="character" w:customStyle="1" w:styleId="BodyTextChar">
    <w:name w:val="Body Text Char"/>
    <w:basedOn w:val="DefaultParagraphFont"/>
    <w:link w:val="BodyText"/>
    <w:rsid w:val="00F40BB4"/>
    <w:rPr>
      <w:rFonts w:ascii="Arial" w:eastAsia="Times New Roman" w:hAnsi="Arial" w:cs="Arial"/>
    </w:rPr>
  </w:style>
  <w:style w:type="paragraph" w:styleId="BodyTextIndent">
    <w:name w:val="Body Text Indent"/>
    <w:basedOn w:val="Normal"/>
    <w:link w:val="BodyTextIndentChar"/>
    <w:rsid w:val="00362482"/>
    <w:pPr>
      <w:spacing w:after="120"/>
      <w:ind w:left="283"/>
    </w:pPr>
    <w:rPr>
      <w:rFonts w:ascii="Times New Roman" w:eastAsia="Times New Roman" w:hAnsi="Times New Roman" w:cs="Times New Roman"/>
      <w:szCs w:val="24"/>
      <w:lang w:val="en-GB" w:eastAsia="en-GB"/>
    </w:rPr>
  </w:style>
  <w:style w:type="character" w:customStyle="1" w:styleId="BodyTextIndentChar">
    <w:name w:val="Body Text Indent Char"/>
    <w:basedOn w:val="DefaultParagraphFont"/>
    <w:link w:val="BodyTextIndent"/>
    <w:rsid w:val="00362482"/>
    <w:rPr>
      <w:rFonts w:ascii="Times New Roman" w:eastAsia="Times New Roman" w:hAnsi="Times New Roman" w:cs="Times New Roman"/>
      <w:sz w:val="24"/>
      <w:szCs w:val="24"/>
      <w:lang w:eastAsia="en-GB"/>
    </w:rPr>
  </w:style>
  <w:style w:type="paragraph" w:customStyle="1" w:styleId="TitleV5">
    <w:name w:val="Title V5"/>
    <w:basedOn w:val="Normal"/>
    <w:next w:val="Normal"/>
    <w:qFormat/>
    <w:rsid w:val="00DE3498"/>
    <w:pPr>
      <w:numPr>
        <w:ilvl w:val="1"/>
        <w:numId w:val="4"/>
      </w:numPr>
      <w:spacing w:after="0"/>
    </w:pPr>
    <w:rPr>
      <w:rFonts w:ascii="Arial" w:eastAsia="Times New Roman" w:hAnsi="Arial" w:cs="Arial"/>
      <w:b/>
      <w:color w:val="08A87E"/>
      <w:sz w:val="22"/>
      <w:lang w:val="en-GB" w:eastAsia="en-GB"/>
    </w:rPr>
  </w:style>
  <w:style w:type="paragraph" w:customStyle="1" w:styleId="Default">
    <w:name w:val="Default"/>
    <w:rsid w:val="00DE3498"/>
    <w:pPr>
      <w:autoSpaceDE w:val="0"/>
      <w:autoSpaceDN w:val="0"/>
      <w:adjustRightInd w:val="0"/>
    </w:pPr>
    <w:rPr>
      <w:rFonts w:ascii="Syntax" w:eastAsia="MS ??" w:hAnsi="Syntax" w:cs="Syntax"/>
      <w:color w:val="000000"/>
      <w:sz w:val="24"/>
      <w:szCs w:val="24"/>
      <w:lang w:eastAsia="en-GB"/>
    </w:rPr>
  </w:style>
  <w:style w:type="paragraph" w:customStyle="1" w:styleId="DHTitle">
    <w:name w:val="DH Title"/>
    <w:basedOn w:val="Normal"/>
    <w:link w:val="DHTitleChar"/>
    <w:rsid w:val="00DE3498"/>
    <w:pPr>
      <w:spacing w:after="0" w:line="660" w:lineRule="exact"/>
    </w:pPr>
    <w:rPr>
      <w:rFonts w:ascii="Arial" w:eastAsia="MS Mincho" w:hAnsi="Arial" w:cs="Times New Roman"/>
      <w:b/>
      <w:color w:val="009966"/>
      <w:sz w:val="60"/>
      <w:lang w:eastAsia="en-US"/>
    </w:rPr>
  </w:style>
  <w:style w:type="character" w:customStyle="1" w:styleId="DHTitleChar">
    <w:name w:val="DH Title Char"/>
    <w:link w:val="DHTitle"/>
    <w:locked/>
    <w:rsid w:val="00DE3498"/>
    <w:rPr>
      <w:rFonts w:ascii="Arial" w:eastAsia="MS Mincho" w:hAnsi="Arial" w:cs="Times New Roman"/>
      <w:b/>
      <w:color w:val="009966"/>
      <w:sz w:val="60"/>
      <w:szCs w:val="20"/>
    </w:rPr>
  </w:style>
  <w:style w:type="paragraph" w:styleId="BalloonText">
    <w:name w:val="Balloon Text"/>
    <w:basedOn w:val="Normal"/>
    <w:link w:val="BalloonTextChar"/>
    <w:uiPriority w:val="99"/>
    <w:semiHidden/>
    <w:unhideWhenUsed/>
    <w:rsid w:val="00482C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6E"/>
    <w:rPr>
      <w:rFonts w:ascii="Tahoma" w:eastAsiaTheme="minorEastAsia" w:hAnsi="Tahoma" w:cs="Tahoma"/>
      <w:sz w:val="16"/>
      <w:szCs w:val="16"/>
      <w:lang w:val="en-US" w:eastAsia="ja-JP"/>
    </w:rPr>
  </w:style>
  <w:style w:type="character" w:styleId="CommentReference">
    <w:name w:val="annotation reference"/>
    <w:basedOn w:val="DefaultParagraphFont"/>
    <w:uiPriority w:val="99"/>
    <w:semiHidden/>
    <w:unhideWhenUsed/>
    <w:rsid w:val="00C36566"/>
    <w:rPr>
      <w:sz w:val="16"/>
      <w:szCs w:val="16"/>
    </w:rPr>
  </w:style>
  <w:style w:type="paragraph" w:styleId="CommentText">
    <w:name w:val="annotation text"/>
    <w:basedOn w:val="Normal"/>
    <w:link w:val="CommentTextChar"/>
    <w:uiPriority w:val="99"/>
    <w:semiHidden/>
    <w:unhideWhenUsed/>
    <w:rsid w:val="00C36566"/>
    <w:rPr>
      <w:sz w:val="20"/>
    </w:rPr>
  </w:style>
  <w:style w:type="character" w:customStyle="1" w:styleId="CommentTextChar">
    <w:name w:val="Comment Text Char"/>
    <w:basedOn w:val="DefaultParagraphFont"/>
    <w:link w:val="CommentText"/>
    <w:uiPriority w:val="99"/>
    <w:semiHidden/>
    <w:rsid w:val="00C36566"/>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C36566"/>
    <w:rPr>
      <w:b/>
      <w:bCs/>
    </w:rPr>
  </w:style>
  <w:style w:type="character" w:customStyle="1" w:styleId="CommentSubjectChar">
    <w:name w:val="Comment Subject Char"/>
    <w:basedOn w:val="CommentTextChar"/>
    <w:link w:val="CommentSubject"/>
    <w:uiPriority w:val="99"/>
    <w:semiHidden/>
    <w:rsid w:val="00C36566"/>
    <w:rPr>
      <w:rFonts w:eastAsiaTheme="minorEastAsia"/>
      <w:b/>
      <w:bCs/>
      <w:sz w:val="20"/>
      <w:szCs w:val="20"/>
      <w:lang w:val="en-US" w:eastAsia="ja-JP"/>
    </w:rPr>
  </w:style>
  <w:style w:type="character" w:styleId="Hyperlink">
    <w:name w:val="Hyperlink"/>
    <w:basedOn w:val="DefaultParagraphFont"/>
    <w:uiPriority w:val="99"/>
    <w:unhideWhenUsed/>
    <w:rsid w:val="008F3DED"/>
    <w:rPr>
      <w:color w:val="0000FF" w:themeColor="hyperlink"/>
      <w:u w:val="single"/>
    </w:rPr>
  </w:style>
  <w:style w:type="character" w:styleId="FollowedHyperlink">
    <w:name w:val="FollowedHyperlink"/>
    <w:basedOn w:val="DefaultParagraphFont"/>
    <w:uiPriority w:val="99"/>
    <w:semiHidden/>
    <w:unhideWhenUsed/>
    <w:rsid w:val="008F3DED"/>
    <w:rPr>
      <w:color w:val="800080" w:themeColor="followedHyperlink"/>
      <w:u w:val="single"/>
    </w:rPr>
  </w:style>
  <w:style w:type="paragraph" w:styleId="EndnoteText">
    <w:name w:val="endnote text"/>
    <w:basedOn w:val="Normal"/>
    <w:link w:val="EndnoteTextChar"/>
    <w:uiPriority w:val="99"/>
    <w:unhideWhenUsed/>
    <w:rsid w:val="00443B52"/>
    <w:pPr>
      <w:spacing w:after="0"/>
    </w:pPr>
    <w:rPr>
      <w:sz w:val="20"/>
    </w:rPr>
  </w:style>
  <w:style w:type="character" w:customStyle="1" w:styleId="EndnoteTextChar">
    <w:name w:val="Endnote Text Char"/>
    <w:basedOn w:val="DefaultParagraphFont"/>
    <w:link w:val="EndnoteText"/>
    <w:uiPriority w:val="99"/>
    <w:rsid w:val="00443B52"/>
    <w:rPr>
      <w:rFonts w:eastAsiaTheme="minorEastAsia"/>
      <w:sz w:val="20"/>
      <w:szCs w:val="20"/>
      <w:lang w:val="en-US" w:eastAsia="ja-JP"/>
    </w:rPr>
  </w:style>
  <w:style w:type="character" w:styleId="EndnoteReference">
    <w:name w:val="endnote reference"/>
    <w:basedOn w:val="DefaultParagraphFont"/>
    <w:uiPriority w:val="99"/>
    <w:unhideWhenUsed/>
    <w:rsid w:val="00443B52"/>
    <w:rPr>
      <w:vertAlign w:val="superscript"/>
    </w:rPr>
  </w:style>
  <w:style w:type="paragraph" w:customStyle="1" w:styleId="Mainheading">
    <w:name w:val="Main heading"/>
    <w:basedOn w:val="Normal"/>
    <w:qFormat/>
    <w:rsid w:val="0026228C"/>
    <w:pPr>
      <w:spacing w:before="120" w:after="120"/>
    </w:pPr>
    <w:rPr>
      <w:rFonts w:ascii="Calibri" w:hAnsi="Calibri" w:cs="Arial"/>
      <w:color w:val="F79646"/>
      <w:sz w:val="36"/>
      <w:szCs w:val="36"/>
      <w:lang w:val="en-GB"/>
    </w:rPr>
  </w:style>
  <w:style w:type="paragraph" w:customStyle="1" w:styleId="Sub-heading">
    <w:name w:val="Sub-heading"/>
    <w:basedOn w:val="Normal"/>
    <w:qFormat/>
    <w:rsid w:val="0026228C"/>
    <w:pPr>
      <w:numPr>
        <w:ilvl w:val="1"/>
        <w:numId w:val="2"/>
      </w:numPr>
      <w:spacing w:before="120" w:after="120"/>
      <w:ind w:left="357" w:hanging="357"/>
    </w:pPr>
    <w:rPr>
      <w:rFonts w:cs="Arial"/>
      <w:b/>
      <w:color w:val="009966"/>
      <w:sz w:val="28"/>
      <w:szCs w:val="28"/>
      <w:lang w:val="en-GB"/>
    </w:rPr>
  </w:style>
  <w:style w:type="paragraph" w:customStyle="1" w:styleId="Body1">
    <w:name w:val="Body 1"/>
    <w:basedOn w:val="Normal"/>
    <w:qFormat/>
    <w:rsid w:val="0026228C"/>
    <w:pPr>
      <w:spacing w:after="120"/>
      <w:ind w:left="357"/>
    </w:pPr>
    <w:rPr>
      <w:rFonts w:cs="Arial"/>
      <w:color w:val="000000" w:themeColor="text1"/>
      <w:sz w:val="22"/>
      <w:szCs w:val="22"/>
      <w:lang w:val="en-GB"/>
    </w:rPr>
  </w:style>
  <w:style w:type="paragraph" w:styleId="NormalWeb">
    <w:name w:val="Normal (Web)"/>
    <w:basedOn w:val="Normal"/>
    <w:uiPriority w:val="99"/>
    <w:semiHidden/>
    <w:unhideWhenUsed/>
    <w:rsid w:val="00194D0B"/>
    <w:pPr>
      <w:spacing w:before="100" w:beforeAutospacing="1" w:after="100" w:afterAutospacing="1"/>
    </w:pPr>
    <w:rPr>
      <w:rFonts w:ascii="Times New Roman" w:hAnsi="Times New Roman" w:cs="Times New Roman"/>
      <w:szCs w:val="24"/>
      <w:lang w:val="en-GB" w:eastAsia="en-GB"/>
    </w:rPr>
  </w:style>
  <w:style w:type="paragraph" w:styleId="Header">
    <w:name w:val="header"/>
    <w:basedOn w:val="Normal"/>
    <w:link w:val="HeaderChar"/>
    <w:uiPriority w:val="99"/>
    <w:unhideWhenUsed/>
    <w:rsid w:val="00236B23"/>
    <w:pPr>
      <w:tabs>
        <w:tab w:val="center" w:pos="4513"/>
        <w:tab w:val="right" w:pos="9026"/>
      </w:tabs>
      <w:spacing w:after="0"/>
    </w:pPr>
    <w:rPr>
      <w:rFonts w:eastAsiaTheme="minorHAnsi"/>
      <w:sz w:val="22"/>
      <w:szCs w:val="22"/>
      <w:lang w:val="en-GB" w:eastAsia="en-US"/>
    </w:rPr>
  </w:style>
  <w:style w:type="character" w:customStyle="1" w:styleId="HeaderChar">
    <w:name w:val="Header Char"/>
    <w:basedOn w:val="DefaultParagraphFont"/>
    <w:link w:val="Header"/>
    <w:uiPriority w:val="99"/>
    <w:rsid w:val="00236B23"/>
  </w:style>
  <w:style w:type="character" w:customStyle="1" w:styleId="apple-converted-space">
    <w:name w:val="apple-converted-space"/>
    <w:rsid w:val="00B451EC"/>
  </w:style>
  <w:style w:type="character" w:styleId="Emphasis">
    <w:name w:val="Emphasis"/>
    <w:basedOn w:val="DefaultParagraphFont"/>
    <w:uiPriority w:val="20"/>
    <w:qFormat/>
    <w:rsid w:val="00B451EC"/>
    <w:rPr>
      <w:i/>
      <w:iCs/>
    </w:rPr>
  </w:style>
  <w:style w:type="character" w:customStyle="1" w:styleId="prod-title2">
    <w:name w:val="prod-title2"/>
    <w:basedOn w:val="DefaultParagraphFont"/>
    <w:rsid w:val="00AB0550"/>
  </w:style>
  <w:style w:type="character" w:customStyle="1" w:styleId="mainheader1">
    <w:name w:val="mainheader1"/>
    <w:basedOn w:val="DefaultParagraphFont"/>
    <w:rsid w:val="00AB0550"/>
    <w:rPr>
      <w:rFonts w:ascii="Arial" w:hAnsi="Arial" w:cs="Arial" w:hint="default"/>
      <w:b/>
      <w:bCs/>
      <w:caps/>
      <w:smallCaps/>
      <w:color w:val="026849"/>
      <w:sz w:val="21"/>
      <w:szCs w:val="21"/>
    </w:rPr>
  </w:style>
  <w:style w:type="paragraph" w:styleId="Footer">
    <w:name w:val="footer"/>
    <w:basedOn w:val="Normal"/>
    <w:link w:val="FooterChar"/>
    <w:uiPriority w:val="99"/>
    <w:unhideWhenUsed/>
    <w:rsid w:val="00AD0A83"/>
    <w:pPr>
      <w:tabs>
        <w:tab w:val="center" w:pos="4680"/>
        <w:tab w:val="right" w:pos="9360"/>
      </w:tabs>
      <w:spacing w:after="0"/>
    </w:pPr>
  </w:style>
  <w:style w:type="character" w:customStyle="1" w:styleId="FooterChar">
    <w:name w:val="Footer Char"/>
    <w:basedOn w:val="DefaultParagraphFont"/>
    <w:link w:val="Footer"/>
    <w:uiPriority w:val="99"/>
    <w:rsid w:val="00AD0A83"/>
    <w:rPr>
      <w:rFonts w:eastAsiaTheme="minorEastAsia"/>
      <w:sz w:val="24"/>
      <w:szCs w:val="20"/>
      <w:lang w:val="en-US" w:eastAsia="ja-JP"/>
    </w:rPr>
  </w:style>
  <w:style w:type="paragraph" w:styleId="Revision">
    <w:name w:val="Revision"/>
    <w:hidden/>
    <w:uiPriority w:val="99"/>
    <w:semiHidden/>
    <w:rsid w:val="00EC3E2B"/>
    <w:rPr>
      <w:rFonts w:eastAsiaTheme="minorEastAsia"/>
      <w:sz w:val="24"/>
      <w:szCs w:val="20"/>
      <w:lang w:val="en-US" w:eastAsia="ja-JP"/>
    </w:rPr>
  </w:style>
  <w:style w:type="paragraph" w:styleId="FootnoteText">
    <w:name w:val="footnote text"/>
    <w:basedOn w:val="Normal"/>
    <w:link w:val="FootnoteTextChar"/>
    <w:uiPriority w:val="99"/>
    <w:semiHidden/>
    <w:unhideWhenUsed/>
    <w:rsid w:val="00ED701E"/>
    <w:pPr>
      <w:spacing w:after="0"/>
    </w:pPr>
    <w:rPr>
      <w:sz w:val="20"/>
    </w:rPr>
  </w:style>
  <w:style w:type="character" w:customStyle="1" w:styleId="FootnoteTextChar">
    <w:name w:val="Footnote Text Char"/>
    <w:basedOn w:val="DefaultParagraphFont"/>
    <w:link w:val="FootnoteText"/>
    <w:uiPriority w:val="99"/>
    <w:semiHidden/>
    <w:rsid w:val="00ED701E"/>
    <w:rPr>
      <w:rFonts w:eastAsiaTheme="minorEastAsia"/>
      <w:sz w:val="20"/>
      <w:szCs w:val="20"/>
      <w:lang w:val="en-US" w:eastAsia="ja-JP"/>
    </w:rPr>
  </w:style>
  <w:style w:type="character" w:styleId="FootnoteReference">
    <w:name w:val="footnote reference"/>
    <w:basedOn w:val="DefaultParagraphFont"/>
    <w:uiPriority w:val="99"/>
    <w:semiHidden/>
    <w:unhideWhenUsed/>
    <w:rsid w:val="00ED7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9578">
      <w:bodyDiv w:val="1"/>
      <w:marLeft w:val="0"/>
      <w:marRight w:val="0"/>
      <w:marTop w:val="0"/>
      <w:marBottom w:val="0"/>
      <w:divBdr>
        <w:top w:val="none" w:sz="0" w:space="0" w:color="auto"/>
        <w:left w:val="none" w:sz="0" w:space="0" w:color="auto"/>
        <w:bottom w:val="none" w:sz="0" w:space="0" w:color="auto"/>
        <w:right w:val="none" w:sz="0" w:space="0" w:color="auto"/>
      </w:divBdr>
    </w:div>
    <w:div w:id="5939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nos.org.uk" TargetMode="External"/><Relationship Id="rId13" Type="http://schemas.openxmlformats.org/officeDocument/2006/relationships/hyperlink" Target="http://webarchive.nationalarchives.gov.uk/20130107105354/http://www.dh.gov.uk/prod_consum_dh/groups/dh_digitalassets/@dh/@en/@pg/documents/digitalasset/dh_109122.pdf" TargetMode="External"/><Relationship Id="rId18" Type="http://schemas.openxmlformats.org/officeDocument/2006/relationships/hyperlink" Target="http://www.nice.org.uk/guidance/ta160" TargetMode="External"/><Relationship Id="rId26" Type="http://schemas.openxmlformats.org/officeDocument/2006/relationships/hyperlink" Target="http://www.iofbonehealth.org/capture-fracture" TargetMode="External"/><Relationship Id="rId3" Type="http://schemas.openxmlformats.org/officeDocument/2006/relationships/styles" Target="styles.xml"/><Relationship Id="rId21" Type="http://schemas.openxmlformats.org/officeDocument/2006/relationships/hyperlink" Target="http://www.nice.org.uk/guidance/ta204" TargetMode="External"/><Relationship Id="rId7" Type="http://schemas.openxmlformats.org/officeDocument/2006/relationships/endnotes" Target="endnotes.xml"/><Relationship Id="rId12" Type="http://schemas.openxmlformats.org/officeDocument/2006/relationships/hyperlink" Target="https://www.nos.org.uk/document.doc?id=1285" TargetMode="External"/><Relationship Id="rId17" Type="http://schemas.openxmlformats.org/officeDocument/2006/relationships/hyperlink" Target="https://www.rcplondon.ac.uk/projects/fracture-liaison-service-database-fls-db" TargetMode="External"/><Relationship Id="rId25" Type="http://schemas.openxmlformats.org/officeDocument/2006/relationships/hyperlink" Target="http://www.laterlifetraining.co.uk/wp-content/uploads/2011/12/FF_Effective-Interventions-in-health-and-social-care.pdf" TargetMode="External"/><Relationship Id="rId2" Type="http://schemas.openxmlformats.org/officeDocument/2006/relationships/numbering" Target="numbering.xml"/><Relationship Id="rId16" Type="http://schemas.openxmlformats.org/officeDocument/2006/relationships/hyperlink" Target="https://www.rcplondon.ac.uk/sites/default/files/national-clinical-audit-of-falls-and-bone-health-in-older-people-national-report-2007.pdf" TargetMode="External"/><Relationship Id="rId20" Type="http://schemas.openxmlformats.org/officeDocument/2006/relationships/hyperlink" Target="http://www.nice.org.uk/guidance/cg1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s.org.uk/document.doc?id=987" TargetMode="External"/><Relationship Id="rId24" Type="http://schemas.openxmlformats.org/officeDocument/2006/relationships/hyperlink" Target="http://www.nos.org.uk/document.doc?id=987" TargetMode="External"/><Relationship Id="rId5" Type="http://schemas.openxmlformats.org/officeDocument/2006/relationships/webSettings" Target="webSettings.xml"/><Relationship Id="rId15" Type="http://schemas.openxmlformats.org/officeDocument/2006/relationships/hyperlink" Target="http://www.fractures.com/pdf/BOA-BGS-Blue-Book.pdf" TargetMode="External"/><Relationship Id="rId23" Type="http://schemas.openxmlformats.org/officeDocument/2006/relationships/hyperlink" Target="http://www.nos.org.uk/document.doc?id=1941" TargetMode="External"/><Relationship Id="rId28" Type="http://schemas.openxmlformats.org/officeDocument/2006/relationships/footer" Target="footer1.xml"/><Relationship Id="rId10" Type="http://schemas.openxmlformats.org/officeDocument/2006/relationships/hyperlink" Target="http://sign.ac.uk/pdf/SIGN142.pdf" TargetMode="External"/><Relationship Id="rId19" Type="http://schemas.openxmlformats.org/officeDocument/2006/relationships/hyperlink" Target="http://www.nice.org.uk/guidance/ta161" TargetMode="External"/><Relationship Id="rId4" Type="http://schemas.openxmlformats.org/officeDocument/2006/relationships/settings" Target="settings.xml"/><Relationship Id="rId9" Type="http://schemas.openxmlformats.org/officeDocument/2006/relationships/hyperlink" Target="http://training.nos.org.uk" TargetMode="External"/><Relationship Id="rId14" Type="http://schemas.openxmlformats.org/officeDocument/2006/relationships/hyperlink" Target="http://webarchive.nationalarchives.gov.uk/20130107105354/http://www.dh.gov.uk/prod_consum_dh/groups/dh_digitalassets/documents/digitalasset/dh_110099.pdf" TargetMode="External"/><Relationship Id="rId22" Type="http://schemas.openxmlformats.org/officeDocument/2006/relationships/hyperlink" Target="http://sign.ac.uk/pdf/SIGN142.pdf" TargetMode="External"/><Relationship Id="rId27" Type="http://schemas.openxmlformats.org/officeDocument/2006/relationships/hyperlink" Target="http://www.fractures.com/pdf/BOA-BGS-Blue-Book.pdf"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infoandstats.wales.nhs.uk/page.cfm?pid=41010&amp;orgid=869" TargetMode="External"/><Relationship Id="rId2" Type="http://schemas.openxmlformats.org/officeDocument/2006/relationships/hyperlink" Target="http://www.hscic.gov.uk/catalogue/PUB12566" TargetMode="External"/><Relationship Id="rId1" Type="http://schemas.openxmlformats.org/officeDocument/2006/relationships/hyperlink" Target="http://www.ons.gov.uk/ons/rel/pop-estimate/population-estimates-for-uk--england-and-wales--scotland-and-northern-ireland/2013/stb---mid-2013-uk-population-estimates.html" TargetMode="External"/><Relationship Id="rId6" Type="http://schemas.openxmlformats.org/officeDocument/2006/relationships/hyperlink" Target="http://www.infoandstats.wales.nhs.uk/page.cfm?pid=41010&amp;orgid=869" TargetMode="External"/><Relationship Id="rId5" Type="http://schemas.openxmlformats.org/officeDocument/2006/relationships/hyperlink" Target="http://www.hscic.gov.uk/catalogue/PUB12566" TargetMode="External"/><Relationship Id="rId4" Type="http://schemas.openxmlformats.org/officeDocument/2006/relationships/hyperlink" Target="http://www.info.doh.gov.uk/doh/finman.nsf/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E79C-CC3F-4D2C-96AE-FB724310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3261</Words>
  <Characters>18591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Grey Healthcare Group UK</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&amp; Helen</dc:creator>
  <cp:lastModifiedBy>Henry Mace</cp:lastModifiedBy>
  <cp:revision>2</cp:revision>
  <cp:lastPrinted>2014-06-12T15:29:00Z</cp:lastPrinted>
  <dcterms:created xsi:type="dcterms:W3CDTF">2016-03-07T09:37:00Z</dcterms:created>
  <dcterms:modified xsi:type="dcterms:W3CDTF">2016-03-07T09:37:00Z</dcterms:modified>
</cp:coreProperties>
</file>